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4570A" w14:textId="77777777" w:rsidR="00482EC7" w:rsidRPr="00473B86" w:rsidRDefault="00482EC7" w:rsidP="00482EC7">
      <w:pPr>
        <w:pStyle w:val="Heading1"/>
        <w:rPr>
          <w:rFonts w:ascii="Merriweather" w:hAnsi="Merriweather"/>
          <w:b/>
          <w:bCs/>
        </w:rPr>
      </w:pPr>
      <w:r w:rsidRPr="00473B86">
        <w:rPr>
          <w:rFonts w:ascii="Merriweather" w:hAnsi="Merriweather"/>
          <w:b/>
          <w:bCs/>
        </w:rPr>
        <w:t>Sample Third-Party Service Provider Due Diligence Checklist</w:t>
      </w:r>
    </w:p>
    <w:p w14:paraId="7CDBEF99" w14:textId="77777777" w:rsidR="00482EC7" w:rsidRDefault="00482EC7" w:rsidP="00482EC7">
      <w:pPr>
        <w:rPr>
          <w:rFonts w:ascii="Merriweather" w:hAnsi="Merriweather"/>
        </w:rPr>
      </w:pPr>
    </w:p>
    <w:p w14:paraId="1C83C00A" w14:textId="77777777" w:rsidR="00482EC7" w:rsidRPr="00C376AE" w:rsidRDefault="00482EC7" w:rsidP="00482EC7">
      <w:pPr>
        <w:jc w:val="both"/>
      </w:pPr>
      <w:r>
        <w:rPr>
          <w:rFonts w:ascii="Merriweather" w:hAnsi="Merriweather"/>
        </w:rPr>
        <w:t xml:space="preserve">Service providers often access, process, or host sensitive and confidential nonpublic information (NPI).  Due diligence processes should be informed by your risk assessment and may vary by the size and complexity of your business.  Below is some general information that should be considered when performing </w:t>
      </w:r>
      <w:r w:rsidRPr="00277A41">
        <w:rPr>
          <w:rFonts w:ascii="Merriweather" w:hAnsi="Merriweather"/>
        </w:rPr>
        <w:t>your TPSP due diligence.</w:t>
      </w:r>
    </w:p>
    <w:p w14:paraId="056AF210" w14:textId="77777777" w:rsidR="00482EC7" w:rsidRPr="00C376AE" w:rsidRDefault="00482EC7" w:rsidP="00482EC7">
      <w:pPr>
        <w:pStyle w:val="ListParagraph"/>
        <w:numPr>
          <w:ilvl w:val="0"/>
          <w:numId w:val="20"/>
        </w:numPr>
        <w:spacing w:after="160" w:line="259" w:lineRule="auto"/>
        <w:contextualSpacing/>
        <w:rPr>
          <w:rFonts w:ascii="Merriweather" w:hAnsi="Merriweather"/>
          <w:b/>
          <w:bCs/>
          <w:sz w:val="24"/>
          <w:szCs w:val="24"/>
        </w:rPr>
      </w:pPr>
      <w:r w:rsidRPr="00C376AE">
        <w:rPr>
          <w:rFonts w:ascii="Merriweather" w:hAnsi="Merriweather"/>
          <w:b/>
          <w:bCs/>
          <w:sz w:val="24"/>
          <w:szCs w:val="24"/>
        </w:rPr>
        <w:t>Pre-Engagement Due Diligence Considerations</w:t>
      </w:r>
    </w:p>
    <w:p w14:paraId="72D50CA7" w14:textId="77777777" w:rsidR="00482EC7" w:rsidRPr="00C376AE" w:rsidRDefault="00482EC7" w:rsidP="00482EC7">
      <w:pPr>
        <w:pStyle w:val="ListParagraph"/>
        <w:numPr>
          <w:ilvl w:val="0"/>
          <w:numId w:val="19"/>
        </w:numPr>
        <w:spacing w:after="160" w:line="259" w:lineRule="auto"/>
        <w:contextualSpacing/>
        <w:rPr>
          <w:rFonts w:ascii="Merriweather" w:hAnsi="Merriweather"/>
          <w:sz w:val="24"/>
          <w:szCs w:val="24"/>
        </w:rPr>
      </w:pPr>
      <w:r w:rsidRPr="00C376AE">
        <w:rPr>
          <w:rFonts w:ascii="Merriweather" w:hAnsi="Merriweather"/>
          <w:sz w:val="24"/>
          <w:szCs w:val="24"/>
        </w:rPr>
        <w:t xml:space="preserve">Identify services to be performed by the TPSP based </w:t>
      </w:r>
      <w:r>
        <w:rPr>
          <w:rFonts w:ascii="Merriweather" w:hAnsi="Merriweather"/>
          <w:sz w:val="24"/>
          <w:szCs w:val="24"/>
        </w:rPr>
        <w:t>up</w:t>
      </w:r>
      <w:r w:rsidRPr="00C376AE">
        <w:rPr>
          <w:rFonts w:ascii="Merriweather" w:hAnsi="Merriweather"/>
          <w:sz w:val="24"/>
          <w:szCs w:val="24"/>
        </w:rPr>
        <w:t>on the scope of work that may require access to the licensee’s IT systems or data, including the collection of personal information</w:t>
      </w:r>
      <w:r>
        <w:rPr>
          <w:rFonts w:ascii="Merriweather" w:hAnsi="Merriweather"/>
          <w:sz w:val="24"/>
          <w:szCs w:val="24"/>
        </w:rPr>
        <w:t>.</w:t>
      </w:r>
    </w:p>
    <w:p w14:paraId="72534F63" w14:textId="77777777" w:rsidR="00482EC7" w:rsidRPr="00C376AE" w:rsidRDefault="00482EC7" w:rsidP="00482EC7">
      <w:pPr>
        <w:pStyle w:val="ListParagraph"/>
        <w:numPr>
          <w:ilvl w:val="0"/>
          <w:numId w:val="19"/>
        </w:numPr>
        <w:spacing w:after="160" w:line="259" w:lineRule="auto"/>
        <w:contextualSpacing/>
        <w:rPr>
          <w:rFonts w:ascii="Merriweather" w:hAnsi="Merriweather"/>
          <w:sz w:val="24"/>
          <w:szCs w:val="24"/>
        </w:rPr>
      </w:pPr>
      <w:r w:rsidRPr="00C376AE">
        <w:rPr>
          <w:rFonts w:ascii="Merriweather" w:hAnsi="Merriweather"/>
          <w:sz w:val="24"/>
          <w:szCs w:val="24"/>
        </w:rPr>
        <w:t>Explore options to lower risks by minimizing access to and use of NPI.  Does the TPSP need access to NPI to perform work for your business?</w:t>
      </w:r>
    </w:p>
    <w:p w14:paraId="01197863" w14:textId="77777777" w:rsidR="00482EC7" w:rsidRPr="00C376AE" w:rsidRDefault="00482EC7" w:rsidP="00482EC7">
      <w:pPr>
        <w:pStyle w:val="ListParagraph"/>
        <w:numPr>
          <w:ilvl w:val="0"/>
          <w:numId w:val="19"/>
        </w:numPr>
        <w:spacing w:after="160" w:line="259" w:lineRule="auto"/>
        <w:contextualSpacing/>
        <w:rPr>
          <w:rFonts w:ascii="Merriweather" w:hAnsi="Merriweather"/>
          <w:sz w:val="24"/>
          <w:szCs w:val="24"/>
        </w:rPr>
      </w:pPr>
      <w:r w:rsidRPr="00C376AE">
        <w:rPr>
          <w:rFonts w:ascii="Merriweather" w:hAnsi="Merriweather"/>
          <w:sz w:val="24"/>
          <w:szCs w:val="24"/>
        </w:rPr>
        <w:t>Review the TPSP’s policies, procedures, internal controls</w:t>
      </w:r>
      <w:r>
        <w:rPr>
          <w:rFonts w:ascii="Merriweather" w:hAnsi="Merriweather"/>
          <w:sz w:val="24"/>
          <w:szCs w:val="24"/>
        </w:rPr>
        <w:t>,</w:t>
      </w:r>
      <w:r w:rsidRPr="00C376AE">
        <w:rPr>
          <w:rFonts w:ascii="Merriweather" w:hAnsi="Merriweather"/>
          <w:sz w:val="24"/>
          <w:szCs w:val="24"/>
        </w:rPr>
        <w:t xml:space="preserve"> and training materials to assess the TPSP’s ability to:</w:t>
      </w:r>
    </w:p>
    <w:p w14:paraId="492C2556" w14:textId="77777777" w:rsidR="00482EC7" w:rsidRPr="00C376AE" w:rsidRDefault="00482EC7" w:rsidP="00482EC7">
      <w:pPr>
        <w:pStyle w:val="ListParagraph"/>
        <w:numPr>
          <w:ilvl w:val="1"/>
          <w:numId w:val="19"/>
        </w:numPr>
        <w:spacing w:after="160" w:line="259" w:lineRule="auto"/>
        <w:contextualSpacing/>
        <w:rPr>
          <w:rFonts w:ascii="Merriweather" w:hAnsi="Merriweather"/>
          <w:sz w:val="24"/>
          <w:szCs w:val="24"/>
        </w:rPr>
      </w:pPr>
      <w:r w:rsidRPr="00C376AE">
        <w:rPr>
          <w:rFonts w:ascii="Merriweather" w:hAnsi="Merriweather"/>
          <w:sz w:val="24"/>
          <w:szCs w:val="24"/>
        </w:rPr>
        <w:t>Recognize and manage data security risks;</w:t>
      </w:r>
    </w:p>
    <w:p w14:paraId="3DA13700" w14:textId="77777777" w:rsidR="00482EC7" w:rsidRPr="00C376AE" w:rsidRDefault="00482EC7" w:rsidP="00482EC7">
      <w:pPr>
        <w:pStyle w:val="ListParagraph"/>
        <w:numPr>
          <w:ilvl w:val="1"/>
          <w:numId w:val="19"/>
        </w:numPr>
        <w:spacing w:after="160" w:line="259" w:lineRule="auto"/>
        <w:contextualSpacing/>
        <w:rPr>
          <w:rFonts w:ascii="Merriweather" w:hAnsi="Merriweather"/>
          <w:sz w:val="24"/>
          <w:szCs w:val="24"/>
        </w:rPr>
      </w:pPr>
      <w:r w:rsidRPr="00C376AE">
        <w:rPr>
          <w:rFonts w:ascii="Merriweather" w:hAnsi="Merriweather"/>
          <w:sz w:val="24"/>
          <w:szCs w:val="24"/>
        </w:rPr>
        <w:t>Conduct appropriate training and oversight of its employees and applicable subcontractors;</w:t>
      </w:r>
    </w:p>
    <w:p w14:paraId="6CC7C95F" w14:textId="77777777" w:rsidR="00482EC7" w:rsidRPr="00C376AE" w:rsidRDefault="00482EC7" w:rsidP="00482EC7">
      <w:pPr>
        <w:pStyle w:val="ListParagraph"/>
        <w:numPr>
          <w:ilvl w:val="1"/>
          <w:numId w:val="19"/>
        </w:numPr>
        <w:spacing w:after="160" w:line="259" w:lineRule="auto"/>
        <w:contextualSpacing/>
        <w:rPr>
          <w:rFonts w:ascii="Merriweather" w:hAnsi="Merriweather"/>
          <w:sz w:val="24"/>
          <w:szCs w:val="24"/>
        </w:rPr>
      </w:pPr>
      <w:r w:rsidRPr="00C376AE">
        <w:rPr>
          <w:rFonts w:ascii="Merriweather" w:hAnsi="Merriweather"/>
          <w:sz w:val="24"/>
          <w:szCs w:val="24"/>
        </w:rPr>
        <w:t>Comply with your privacy information and security policies; and</w:t>
      </w:r>
    </w:p>
    <w:p w14:paraId="47854190" w14:textId="77777777" w:rsidR="00482EC7" w:rsidRPr="00C376AE" w:rsidRDefault="00482EC7" w:rsidP="00482EC7">
      <w:pPr>
        <w:pStyle w:val="ListParagraph"/>
        <w:numPr>
          <w:ilvl w:val="1"/>
          <w:numId w:val="19"/>
        </w:numPr>
        <w:spacing w:after="160" w:line="259" w:lineRule="auto"/>
        <w:contextualSpacing/>
        <w:rPr>
          <w:rFonts w:ascii="Merriweather" w:hAnsi="Merriweather"/>
          <w:sz w:val="24"/>
          <w:szCs w:val="24"/>
        </w:rPr>
      </w:pPr>
      <w:r w:rsidRPr="00C376AE">
        <w:rPr>
          <w:rFonts w:ascii="Merriweather" w:hAnsi="Merriweather"/>
          <w:sz w:val="24"/>
          <w:szCs w:val="24"/>
        </w:rPr>
        <w:t>Comply with applicable laws, regulations</w:t>
      </w:r>
      <w:r>
        <w:rPr>
          <w:rFonts w:ascii="Merriweather" w:hAnsi="Merriweather"/>
          <w:sz w:val="24"/>
          <w:szCs w:val="24"/>
        </w:rPr>
        <w:t>,</w:t>
      </w:r>
      <w:r w:rsidRPr="00C376AE">
        <w:rPr>
          <w:rFonts w:ascii="Merriweather" w:hAnsi="Merriweather"/>
          <w:sz w:val="24"/>
          <w:szCs w:val="24"/>
        </w:rPr>
        <w:t xml:space="preserve"> and industry standards.</w:t>
      </w:r>
    </w:p>
    <w:p w14:paraId="5E311B7C" w14:textId="77777777" w:rsidR="00482EC7" w:rsidRPr="00C376AE" w:rsidRDefault="00482EC7" w:rsidP="00482EC7">
      <w:pPr>
        <w:pStyle w:val="ListParagraph"/>
        <w:numPr>
          <w:ilvl w:val="0"/>
          <w:numId w:val="19"/>
        </w:numPr>
        <w:spacing w:after="160" w:line="259" w:lineRule="auto"/>
        <w:contextualSpacing/>
        <w:rPr>
          <w:rFonts w:ascii="Merriweather" w:hAnsi="Merriweather"/>
          <w:sz w:val="24"/>
          <w:szCs w:val="24"/>
        </w:rPr>
      </w:pPr>
      <w:r w:rsidRPr="00C376AE">
        <w:rPr>
          <w:rFonts w:ascii="Merriweather" w:hAnsi="Merriweather"/>
          <w:sz w:val="24"/>
          <w:szCs w:val="24"/>
        </w:rPr>
        <w:t xml:space="preserve">Review the TPSP’s privacy and data security history, including any regulatory enforcement actions, litigation, </w:t>
      </w:r>
      <w:r>
        <w:rPr>
          <w:rFonts w:ascii="Merriweather" w:hAnsi="Merriweather"/>
          <w:sz w:val="24"/>
          <w:szCs w:val="24"/>
        </w:rPr>
        <w:t xml:space="preserve">and </w:t>
      </w:r>
      <w:r w:rsidRPr="00C376AE">
        <w:rPr>
          <w:rFonts w:ascii="Merriweather" w:hAnsi="Merriweather"/>
          <w:sz w:val="24"/>
          <w:szCs w:val="24"/>
        </w:rPr>
        <w:t>cybersecurity data breaches.</w:t>
      </w:r>
    </w:p>
    <w:p w14:paraId="1CF84CA6" w14:textId="77777777" w:rsidR="00482EC7" w:rsidRPr="00C376AE" w:rsidRDefault="00482EC7" w:rsidP="00482EC7">
      <w:pPr>
        <w:pStyle w:val="ListParagraph"/>
        <w:rPr>
          <w:rFonts w:ascii="Merriweather" w:hAnsi="Merriweather"/>
          <w:sz w:val="24"/>
          <w:szCs w:val="24"/>
        </w:rPr>
      </w:pPr>
    </w:p>
    <w:p w14:paraId="7CA145A8" w14:textId="77777777" w:rsidR="00482EC7" w:rsidRPr="00C376AE" w:rsidRDefault="00482EC7" w:rsidP="00482EC7">
      <w:pPr>
        <w:pStyle w:val="ListParagraph"/>
        <w:numPr>
          <w:ilvl w:val="0"/>
          <w:numId w:val="20"/>
        </w:numPr>
        <w:spacing w:after="160" w:line="259" w:lineRule="auto"/>
        <w:contextualSpacing/>
        <w:rPr>
          <w:rFonts w:ascii="Merriweather" w:hAnsi="Merriweather"/>
          <w:b/>
          <w:bCs/>
          <w:sz w:val="24"/>
          <w:szCs w:val="24"/>
        </w:rPr>
      </w:pPr>
      <w:r w:rsidRPr="00C376AE">
        <w:rPr>
          <w:rFonts w:ascii="Merriweather" w:hAnsi="Merriweather"/>
          <w:b/>
          <w:bCs/>
          <w:sz w:val="24"/>
          <w:szCs w:val="24"/>
        </w:rPr>
        <w:t>Develop or use a TPSP Due Diligence Questionnaire or consider using another third</w:t>
      </w:r>
      <w:r>
        <w:rPr>
          <w:rFonts w:ascii="Merriweather" w:hAnsi="Merriweather"/>
          <w:b/>
          <w:bCs/>
          <w:sz w:val="24"/>
          <w:szCs w:val="24"/>
        </w:rPr>
        <w:t>-</w:t>
      </w:r>
      <w:r w:rsidRPr="00C376AE">
        <w:rPr>
          <w:rFonts w:ascii="Merriweather" w:hAnsi="Merriweather"/>
          <w:b/>
          <w:bCs/>
          <w:sz w:val="24"/>
          <w:szCs w:val="24"/>
        </w:rPr>
        <w:t>party to perform this assessment for your business that will help you obtain the following types of information about the TPSP (depending upon its size and access to your information systems and NPI, if applicable):</w:t>
      </w:r>
    </w:p>
    <w:p w14:paraId="51FA3790" w14:textId="77777777" w:rsidR="00482EC7" w:rsidRPr="00C376AE" w:rsidRDefault="00482EC7" w:rsidP="00482EC7">
      <w:pPr>
        <w:pStyle w:val="ListParagraph"/>
        <w:numPr>
          <w:ilvl w:val="1"/>
          <w:numId w:val="20"/>
        </w:numPr>
        <w:spacing w:after="160" w:line="259" w:lineRule="auto"/>
        <w:contextualSpacing/>
        <w:rPr>
          <w:rFonts w:ascii="Merriweather" w:hAnsi="Merriweather"/>
          <w:sz w:val="24"/>
          <w:szCs w:val="24"/>
        </w:rPr>
      </w:pPr>
      <w:r w:rsidRPr="00C376AE">
        <w:rPr>
          <w:rFonts w:ascii="Merriweather" w:hAnsi="Merriweather"/>
          <w:sz w:val="24"/>
          <w:szCs w:val="24"/>
        </w:rPr>
        <w:t>License Information</w:t>
      </w:r>
    </w:p>
    <w:p w14:paraId="07328122" w14:textId="77777777" w:rsidR="00482EC7" w:rsidRPr="00C376AE" w:rsidRDefault="00482EC7" w:rsidP="00482EC7">
      <w:pPr>
        <w:pStyle w:val="ListParagraph"/>
        <w:numPr>
          <w:ilvl w:val="1"/>
          <w:numId w:val="20"/>
        </w:numPr>
        <w:spacing w:after="160" w:line="259" w:lineRule="auto"/>
        <w:contextualSpacing/>
        <w:rPr>
          <w:rFonts w:ascii="Merriweather" w:hAnsi="Merriweather"/>
          <w:sz w:val="24"/>
          <w:szCs w:val="24"/>
        </w:rPr>
      </w:pPr>
      <w:r w:rsidRPr="00C376AE">
        <w:rPr>
          <w:rFonts w:ascii="Merriweather" w:hAnsi="Merriweather"/>
          <w:sz w:val="24"/>
          <w:szCs w:val="24"/>
        </w:rPr>
        <w:t>Company Structure</w:t>
      </w:r>
    </w:p>
    <w:p w14:paraId="3790A575" w14:textId="77777777" w:rsidR="00482EC7" w:rsidRPr="00C376AE" w:rsidRDefault="00482EC7" w:rsidP="00482EC7">
      <w:pPr>
        <w:pStyle w:val="ListParagraph"/>
        <w:numPr>
          <w:ilvl w:val="1"/>
          <w:numId w:val="20"/>
        </w:numPr>
        <w:spacing w:after="160" w:line="259" w:lineRule="auto"/>
        <w:contextualSpacing/>
        <w:rPr>
          <w:rFonts w:ascii="Merriweather" w:hAnsi="Merriweather"/>
          <w:sz w:val="24"/>
          <w:szCs w:val="24"/>
        </w:rPr>
      </w:pPr>
      <w:r w:rsidRPr="00C376AE">
        <w:rPr>
          <w:rFonts w:ascii="Merriweather" w:hAnsi="Merriweather"/>
          <w:sz w:val="24"/>
          <w:szCs w:val="24"/>
        </w:rPr>
        <w:t>Biographical Information on Owners and Directors</w:t>
      </w:r>
    </w:p>
    <w:p w14:paraId="43284482" w14:textId="77777777" w:rsidR="00482EC7" w:rsidRPr="00C376AE" w:rsidRDefault="00482EC7" w:rsidP="00482EC7">
      <w:pPr>
        <w:pStyle w:val="ListParagraph"/>
        <w:numPr>
          <w:ilvl w:val="1"/>
          <w:numId w:val="20"/>
        </w:numPr>
        <w:spacing w:after="160" w:line="259" w:lineRule="auto"/>
        <w:contextualSpacing/>
        <w:rPr>
          <w:rFonts w:ascii="Merriweather" w:hAnsi="Merriweather"/>
          <w:sz w:val="24"/>
          <w:szCs w:val="24"/>
        </w:rPr>
      </w:pPr>
      <w:r w:rsidRPr="00C376AE">
        <w:rPr>
          <w:rFonts w:ascii="Merriweather" w:hAnsi="Merriweather"/>
          <w:sz w:val="24"/>
          <w:szCs w:val="24"/>
        </w:rPr>
        <w:t>References</w:t>
      </w:r>
    </w:p>
    <w:p w14:paraId="7AD9023E" w14:textId="77777777" w:rsidR="00482EC7" w:rsidRPr="00C376AE" w:rsidRDefault="00482EC7" w:rsidP="00482EC7">
      <w:pPr>
        <w:pStyle w:val="ListParagraph"/>
        <w:numPr>
          <w:ilvl w:val="1"/>
          <w:numId w:val="20"/>
        </w:numPr>
        <w:spacing w:after="160" w:line="259" w:lineRule="auto"/>
        <w:contextualSpacing/>
        <w:rPr>
          <w:rFonts w:ascii="Merriweather" w:hAnsi="Merriweather"/>
          <w:sz w:val="24"/>
          <w:szCs w:val="24"/>
        </w:rPr>
      </w:pPr>
      <w:r w:rsidRPr="00C376AE">
        <w:rPr>
          <w:rFonts w:ascii="Merriweather" w:hAnsi="Merriweather"/>
          <w:sz w:val="24"/>
          <w:szCs w:val="24"/>
        </w:rPr>
        <w:t>Proof of location</w:t>
      </w:r>
    </w:p>
    <w:p w14:paraId="72380E9D" w14:textId="77777777" w:rsidR="00482EC7" w:rsidRPr="00C376AE" w:rsidRDefault="00482EC7" w:rsidP="00482EC7">
      <w:pPr>
        <w:pStyle w:val="ListParagraph"/>
        <w:numPr>
          <w:ilvl w:val="0"/>
          <w:numId w:val="18"/>
        </w:numPr>
        <w:spacing w:after="160" w:line="259" w:lineRule="auto"/>
        <w:contextualSpacing/>
        <w:rPr>
          <w:rFonts w:ascii="Merriweather" w:hAnsi="Merriweather"/>
          <w:sz w:val="24"/>
          <w:szCs w:val="24"/>
        </w:rPr>
      </w:pPr>
      <w:r w:rsidRPr="00C376AE">
        <w:rPr>
          <w:rFonts w:ascii="Merriweather" w:hAnsi="Merriweather"/>
          <w:sz w:val="24"/>
          <w:szCs w:val="24"/>
        </w:rPr>
        <w:t>Cyber risk assessment questionnaire</w:t>
      </w:r>
    </w:p>
    <w:p w14:paraId="6B95943E" w14:textId="77777777" w:rsidR="00482EC7" w:rsidRPr="00C376AE" w:rsidRDefault="00482EC7" w:rsidP="00482EC7">
      <w:pPr>
        <w:pStyle w:val="ListParagraph"/>
        <w:numPr>
          <w:ilvl w:val="0"/>
          <w:numId w:val="18"/>
        </w:numPr>
        <w:spacing w:after="160" w:line="259" w:lineRule="auto"/>
        <w:contextualSpacing/>
        <w:rPr>
          <w:rFonts w:ascii="Merriweather" w:hAnsi="Merriweather"/>
          <w:sz w:val="24"/>
          <w:szCs w:val="24"/>
        </w:rPr>
      </w:pPr>
      <w:r w:rsidRPr="00C376AE">
        <w:rPr>
          <w:rFonts w:ascii="Merriweather" w:hAnsi="Merriweather"/>
          <w:sz w:val="24"/>
          <w:szCs w:val="24"/>
        </w:rPr>
        <w:t>Penetration test results</w:t>
      </w:r>
    </w:p>
    <w:p w14:paraId="64650E6D" w14:textId="77777777" w:rsidR="00482EC7" w:rsidRPr="00C376AE" w:rsidRDefault="00482EC7" w:rsidP="00482EC7">
      <w:pPr>
        <w:pStyle w:val="ListParagraph"/>
        <w:numPr>
          <w:ilvl w:val="0"/>
          <w:numId w:val="18"/>
        </w:numPr>
        <w:spacing w:after="160" w:line="259" w:lineRule="auto"/>
        <w:contextualSpacing/>
        <w:rPr>
          <w:rFonts w:ascii="Merriweather" w:hAnsi="Merriweather"/>
          <w:sz w:val="24"/>
          <w:szCs w:val="24"/>
        </w:rPr>
      </w:pPr>
      <w:r w:rsidRPr="00C376AE">
        <w:rPr>
          <w:rFonts w:ascii="Merriweather" w:hAnsi="Merriweather"/>
          <w:sz w:val="24"/>
          <w:szCs w:val="24"/>
        </w:rPr>
        <w:t>Si</w:t>
      </w:r>
      <w:r>
        <w:rPr>
          <w:rFonts w:ascii="Merriweather" w:hAnsi="Merriweather"/>
          <w:sz w:val="24"/>
          <w:szCs w:val="24"/>
        </w:rPr>
        <w:t xml:space="preserve">te visit to assess physical </w:t>
      </w:r>
      <w:r w:rsidRPr="00C376AE">
        <w:rPr>
          <w:rFonts w:ascii="Merriweather" w:hAnsi="Merriweather"/>
          <w:sz w:val="24"/>
          <w:szCs w:val="24"/>
        </w:rPr>
        <w:t>security</w:t>
      </w:r>
    </w:p>
    <w:p w14:paraId="13E747D6" w14:textId="77777777" w:rsidR="00482EC7" w:rsidRPr="00C376AE" w:rsidRDefault="00482EC7" w:rsidP="00482EC7">
      <w:pPr>
        <w:pStyle w:val="ListParagraph"/>
        <w:numPr>
          <w:ilvl w:val="0"/>
          <w:numId w:val="18"/>
        </w:numPr>
        <w:spacing w:after="160" w:line="259" w:lineRule="auto"/>
        <w:contextualSpacing/>
        <w:rPr>
          <w:rFonts w:ascii="Merriweather" w:hAnsi="Merriweather"/>
          <w:sz w:val="24"/>
          <w:szCs w:val="24"/>
        </w:rPr>
      </w:pPr>
      <w:r w:rsidRPr="00C376AE">
        <w:rPr>
          <w:rFonts w:ascii="Merriweather" w:hAnsi="Merriweather"/>
          <w:sz w:val="24"/>
          <w:szCs w:val="24"/>
        </w:rPr>
        <w:t>History of data breaches</w:t>
      </w:r>
    </w:p>
    <w:p w14:paraId="2ABBA739" w14:textId="77777777" w:rsidR="00482EC7" w:rsidRPr="00277A41" w:rsidRDefault="00482EC7" w:rsidP="00482EC7">
      <w:pPr>
        <w:pStyle w:val="ListParagraph"/>
        <w:numPr>
          <w:ilvl w:val="0"/>
          <w:numId w:val="18"/>
        </w:numPr>
        <w:spacing w:after="160" w:line="259" w:lineRule="auto"/>
        <w:contextualSpacing/>
        <w:rPr>
          <w:rFonts w:ascii="Merriweather" w:hAnsi="Merriweather"/>
          <w:sz w:val="24"/>
          <w:szCs w:val="24"/>
        </w:rPr>
      </w:pPr>
      <w:r w:rsidRPr="00C376AE">
        <w:rPr>
          <w:rFonts w:ascii="Merriweather" w:hAnsi="Merriweather"/>
          <w:sz w:val="24"/>
          <w:szCs w:val="24"/>
        </w:rPr>
        <w:t>Security awareness testing processes</w:t>
      </w:r>
    </w:p>
    <w:p w14:paraId="7C0AFE4F" w14:textId="77777777" w:rsidR="00482EC7" w:rsidRPr="002E4065" w:rsidRDefault="00482EC7" w:rsidP="00482EC7">
      <w:pPr>
        <w:pStyle w:val="ListParagraph"/>
        <w:numPr>
          <w:ilvl w:val="0"/>
          <w:numId w:val="20"/>
        </w:numPr>
        <w:spacing w:after="160" w:line="259" w:lineRule="auto"/>
        <w:contextualSpacing/>
        <w:rPr>
          <w:rFonts w:ascii="Merriweather" w:hAnsi="Merriweather"/>
          <w:b/>
          <w:sz w:val="24"/>
          <w:szCs w:val="24"/>
        </w:rPr>
      </w:pPr>
      <w:r>
        <w:rPr>
          <w:rFonts w:ascii="Merriweather" w:hAnsi="Merriweather"/>
          <w:b/>
          <w:sz w:val="24"/>
          <w:szCs w:val="24"/>
        </w:rPr>
        <w:t>Key topics</w:t>
      </w:r>
      <w:r w:rsidRPr="002E4065">
        <w:rPr>
          <w:rFonts w:ascii="Merriweather" w:hAnsi="Merriweather"/>
          <w:b/>
          <w:sz w:val="24"/>
          <w:szCs w:val="24"/>
        </w:rPr>
        <w:t xml:space="preserve"> to consider </w:t>
      </w:r>
      <w:r>
        <w:rPr>
          <w:rFonts w:ascii="Merriweather" w:hAnsi="Merriweather"/>
          <w:b/>
          <w:sz w:val="24"/>
          <w:szCs w:val="24"/>
        </w:rPr>
        <w:t>requesting additional information on</w:t>
      </w:r>
      <w:r w:rsidRPr="002E4065">
        <w:rPr>
          <w:rFonts w:ascii="Merriweather" w:hAnsi="Merriweather"/>
          <w:b/>
          <w:sz w:val="24"/>
          <w:szCs w:val="24"/>
        </w:rPr>
        <w:t xml:space="preserve"> include:</w:t>
      </w:r>
    </w:p>
    <w:p w14:paraId="4CCB1D47" w14:textId="77777777" w:rsidR="00482EC7" w:rsidRPr="00C376AE" w:rsidRDefault="00482EC7" w:rsidP="00482EC7">
      <w:pPr>
        <w:numPr>
          <w:ilvl w:val="0"/>
          <w:numId w:val="18"/>
        </w:numPr>
        <w:shd w:val="clear" w:color="auto" w:fill="FAFAFA"/>
        <w:jc w:val="both"/>
        <w:textAlignment w:val="baseline"/>
        <w:rPr>
          <w:rFonts w:ascii="Merriweather" w:hAnsi="Merriweather"/>
        </w:rPr>
      </w:pPr>
      <w:r w:rsidRPr="00C376AE">
        <w:rPr>
          <w:rStyle w:val="Strong"/>
          <w:rFonts w:ascii="Merriweather" w:hAnsi="Merriweather"/>
          <w:bdr w:val="none" w:sz="0" w:space="0" w:color="auto" w:frame="1"/>
        </w:rPr>
        <w:t>How the services will be provided, including specific technologies, locations, and IT infrastructure used.</w:t>
      </w:r>
      <w:r w:rsidRPr="00C376AE">
        <w:rPr>
          <w:rFonts w:ascii="Merriweather" w:hAnsi="Merriweather"/>
        </w:rPr>
        <w:t xml:space="preserve"> Organizations need to understand the technologies TPSPs will use to assess potential data security risks. For example, risks vary based on whether the TPSP will access and use the </w:t>
      </w:r>
      <w:r w:rsidRPr="00C376AE">
        <w:rPr>
          <w:rFonts w:ascii="Merriweather" w:hAnsi="Merriweather"/>
        </w:rPr>
        <w:lastRenderedPageBreak/>
        <w:t>organization's IT systems, its own systems, or a cloud-based solution. Organizations need to know TPSPs' data processing locations to assess the applicability of various global data protection and privacy laws and regulations.</w:t>
      </w:r>
    </w:p>
    <w:p w14:paraId="272EFAF2" w14:textId="77777777" w:rsidR="00482EC7" w:rsidRPr="00C376AE" w:rsidRDefault="00482EC7" w:rsidP="00482EC7">
      <w:pPr>
        <w:numPr>
          <w:ilvl w:val="0"/>
          <w:numId w:val="18"/>
        </w:numPr>
        <w:shd w:val="clear" w:color="auto" w:fill="FAFAFA"/>
        <w:jc w:val="both"/>
        <w:textAlignment w:val="baseline"/>
        <w:rPr>
          <w:rFonts w:ascii="Merriweather" w:hAnsi="Merriweather"/>
        </w:rPr>
      </w:pPr>
      <w:r w:rsidRPr="00C376AE">
        <w:rPr>
          <w:rStyle w:val="Strong"/>
          <w:rFonts w:ascii="Merriweather" w:hAnsi="Merriweather"/>
          <w:bdr w:val="none" w:sz="0" w:space="0" w:color="auto" w:frame="1"/>
        </w:rPr>
        <w:t>Whether the TPSP will subcontract any of the services or otherwise use downstream TPSPs to provide the services.</w:t>
      </w:r>
      <w:r w:rsidRPr="00C376AE">
        <w:rPr>
          <w:rFonts w:ascii="Merriweather" w:hAnsi="Merriweather"/>
        </w:rPr>
        <w:t> An organization must understand how its data flows and to whom, and should scrutinize the TPSP's own service provider management program.</w:t>
      </w:r>
    </w:p>
    <w:p w14:paraId="505DDAB3" w14:textId="77777777" w:rsidR="00482EC7" w:rsidRPr="00C376AE" w:rsidRDefault="00482EC7" w:rsidP="00482EC7">
      <w:pPr>
        <w:numPr>
          <w:ilvl w:val="0"/>
          <w:numId w:val="18"/>
        </w:numPr>
        <w:shd w:val="clear" w:color="auto" w:fill="FAFAFA"/>
        <w:jc w:val="both"/>
        <w:textAlignment w:val="baseline"/>
        <w:rPr>
          <w:rFonts w:ascii="Merriweather" w:hAnsi="Merriweather"/>
        </w:rPr>
      </w:pPr>
      <w:r w:rsidRPr="00C376AE">
        <w:rPr>
          <w:rStyle w:val="Strong"/>
          <w:rFonts w:ascii="Merriweather" w:hAnsi="Merriweather"/>
          <w:bdr w:val="none" w:sz="0" w:space="0" w:color="auto" w:frame="1"/>
        </w:rPr>
        <w:t>Whether the TPSP's current privacy and information security programs are acceptable.</w:t>
      </w:r>
      <w:r w:rsidRPr="00C376AE">
        <w:rPr>
          <w:rFonts w:ascii="Merriweather" w:hAnsi="Merriweather"/>
        </w:rPr>
        <w:t> Carefully review the TPSP's current privacy and information security programs by considering at least the following elements and how they apply to the proposed services:</w:t>
      </w:r>
    </w:p>
    <w:p w14:paraId="3B9BD520"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whether the TPSP maintains a reasonable written information security program or similar documentation that lays out its commitments;</w:t>
      </w:r>
    </w:p>
    <w:p w14:paraId="644C0D21"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how the TPSP's privacy and information security programs are organized, including key personnel, their qualifications, reporting structure, and access to leadership;</w:t>
      </w:r>
    </w:p>
    <w:p w14:paraId="54A0A964"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whether the TPSP's internal privacy and information security policies and supporting processes are consistent with the commitments it makes in any overarching program documentation;</w:t>
      </w:r>
    </w:p>
    <w:p w14:paraId="328F4B94"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whether the TPSP has implemented reasonable administrative, physical, and technical safeguards and how it maintains them;</w:t>
      </w:r>
    </w:p>
    <w:p w14:paraId="3E5335F9"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whether the TPSP performs regular risk assessments to review its data security risks, program effectiveness, and compliance with applicable laws, regulations, and standards;</w:t>
      </w:r>
    </w:p>
    <w:p w14:paraId="194A56B2"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how the TPSP addresses any gaps identified by risk assessments;</w:t>
      </w:r>
    </w:p>
    <w:p w14:paraId="53EC97D8"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whether the TPSP has implemented automated risk assessment and vulnerability management programs, including continuous monitoring;</w:t>
      </w:r>
    </w:p>
    <w:p w14:paraId="368A279D"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whether the TPSP routinely engages in independent third-party assessments, audits, or certifications;</w:t>
      </w:r>
    </w:p>
    <w:p w14:paraId="6D1E8C52"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how the TPSP limits data uses to only those required to provide the services and meet contract terms;</w:t>
      </w:r>
    </w:p>
    <w:p w14:paraId="47FA2145"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whether the TPSP has implemented privacy by design principles and practices to address privacy issues, including data use, that may arise in product and services development and maintenance;</w:t>
      </w:r>
    </w:p>
    <w:p w14:paraId="61DB3B17"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how the TPSP trains its workforce; and</w:t>
      </w:r>
    </w:p>
    <w:p w14:paraId="3276D831" w14:textId="77777777" w:rsidR="00482EC7" w:rsidRPr="00C376AE" w:rsidRDefault="00482EC7" w:rsidP="00482EC7">
      <w:pPr>
        <w:numPr>
          <w:ilvl w:val="2"/>
          <w:numId w:val="18"/>
        </w:numPr>
        <w:shd w:val="clear" w:color="auto" w:fill="FAFAFA"/>
        <w:ind w:left="2088"/>
        <w:jc w:val="both"/>
        <w:textAlignment w:val="baseline"/>
        <w:rPr>
          <w:rFonts w:ascii="Merriweather" w:hAnsi="Merriweather"/>
        </w:rPr>
      </w:pPr>
      <w:r w:rsidRPr="00C376AE">
        <w:rPr>
          <w:rFonts w:ascii="Merriweather" w:hAnsi="Merriweather"/>
        </w:rPr>
        <w:t>whether the TPSP's values and culture regarding privacy and information security meet the organization's expectations.</w:t>
      </w:r>
    </w:p>
    <w:p w14:paraId="1450ACCA" w14:textId="77777777" w:rsidR="00482EC7" w:rsidRPr="00C376AE" w:rsidRDefault="00482EC7" w:rsidP="00482EC7">
      <w:pPr>
        <w:numPr>
          <w:ilvl w:val="0"/>
          <w:numId w:val="18"/>
        </w:numPr>
        <w:shd w:val="clear" w:color="auto" w:fill="FAFAFA"/>
        <w:jc w:val="both"/>
        <w:textAlignment w:val="baseline"/>
        <w:rPr>
          <w:rFonts w:ascii="Merriweather" w:hAnsi="Merriweather"/>
        </w:rPr>
      </w:pPr>
      <w:r w:rsidRPr="00C376AE">
        <w:rPr>
          <w:rStyle w:val="Strong"/>
          <w:rFonts w:ascii="Merriweather" w:hAnsi="Merriweather"/>
          <w:bdr w:val="none" w:sz="0" w:space="0" w:color="auto" w:frame="1"/>
        </w:rPr>
        <w:t>Whether the TPSP has in place and routinely tests an incident response plan.</w:t>
      </w:r>
      <w:r w:rsidRPr="00C376AE">
        <w:rPr>
          <w:rStyle w:val="Strong"/>
          <w:rFonts w:ascii="Merriweather" w:hAnsi="Merriweather" w:hint="eastAsia"/>
          <w:bdr w:val="none" w:sz="0" w:space="0" w:color="auto" w:frame="1"/>
        </w:rPr>
        <w:t> </w:t>
      </w:r>
      <w:r w:rsidRPr="00C376AE">
        <w:rPr>
          <w:rFonts w:ascii="Merriweather" w:hAnsi="Merriweather"/>
        </w:rPr>
        <w:t>TPSPs that regularly test their incident response plans are more likely to respond effectively if a data breach or other data security incident occurs. Incident response plans should be flexible enough to accommodate a wide variety of events while clearly assigning accountability for key activities.</w:t>
      </w:r>
    </w:p>
    <w:p w14:paraId="760184D1" w14:textId="77777777" w:rsidR="00482EC7" w:rsidRPr="00C376AE" w:rsidRDefault="00482EC7" w:rsidP="00482EC7">
      <w:pPr>
        <w:numPr>
          <w:ilvl w:val="0"/>
          <w:numId w:val="18"/>
        </w:numPr>
        <w:shd w:val="clear" w:color="auto" w:fill="FAFAFA"/>
        <w:jc w:val="both"/>
        <w:textAlignment w:val="baseline"/>
        <w:rPr>
          <w:rFonts w:ascii="Merriweather" w:hAnsi="Merriweather"/>
        </w:rPr>
      </w:pPr>
      <w:r w:rsidRPr="00C376AE">
        <w:rPr>
          <w:rStyle w:val="Strong"/>
          <w:rFonts w:ascii="Merriweather" w:hAnsi="Merriweather"/>
          <w:bdr w:val="none" w:sz="0" w:space="0" w:color="auto" w:frame="1"/>
        </w:rPr>
        <w:t>Whether the TPSP has experience with</w:t>
      </w:r>
      <w:r>
        <w:rPr>
          <w:rStyle w:val="Strong"/>
          <w:rFonts w:ascii="Merriweather" w:hAnsi="Merriweather"/>
          <w:bdr w:val="none" w:sz="0" w:space="0" w:color="auto" w:frame="1"/>
        </w:rPr>
        <w:t>,</w:t>
      </w:r>
      <w:r w:rsidRPr="00C376AE">
        <w:rPr>
          <w:rStyle w:val="Strong"/>
          <w:rFonts w:ascii="Merriweather" w:hAnsi="Merriweather"/>
          <w:bdr w:val="none" w:sz="0" w:space="0" w:color="auto" w:frame="1"/>
        </w:rPr>
        <w:t xml:space="preserve"> and its approach to complying with</w:t>
      </w:r>
      <w:r>
        <w:rPr>
          <w:rStyle w:val="Strong"/>
          <w:rFonts w:ascii="Merriweather" w:hAnsi="Merriweather"/>
          <w:bdr w:val="none" w:sz="0" w:space="0" w:color="auto" w:frame="1"/>
        </w:rPr>
        <w:t>,</w:t>
      </w:r>
      <w:r w:rsidRPr="00C376AE">
        <w:rPr>
          <w:rStyle w:val="Strong"/>
          <w:rFonts w:ascii="Merriweather" w:hAnsi="Merriweather"/>
          <w:bdr w:val="none" w:sz="0" w:space="0" w:color="auto" w:frame="1"/>
        </w:rPr>
        <w:t xml:space="preserve"> applicable laws, regulations, and standards.</w:t>
      </w:r>
      <w:r w:rsidRPr="00C376AE">
        <w:rPr>
          <w:rFonts w:ascii="Merriweather" w:hAnsi="Merriweather"/>
        </w:rPr>
        <w:t xml:space="preserve"> Many privacy and data security laws, regulations, and standards overlap. However, an organization should consider whether the TPSP has specific experience and a documented compliance program regarding the </w:t>
      </w:r>
      <w:proofErr w:type="gramStart"/>
      <w:r w:rsidRPr="00C376AE">
        <w:rPr>
          <w:rFonts w:ascii="Merriweather" w:hAnsi="Merriweather"/>
        </w:rPr>
        <w:t>particular regimes</w:t>
      </w:r>
      <w:proofErr w:type="gramEnd"/>
      <w:r w:rsidRPr="00C376AE">
        <w:rPr>
          <w:rFonts w:ascii="Merriweather" w:hAnsi="Merriweather"/>
        </w:rPr>
        <w:t xml:space="preserve"> and standards that apply to the organization.</w:t>
      </w:r>
    </w:p>
    <w:p w14:paraId="3351320C" w14:textId="77777777" w:rsidR="00482EC7" w:rsidRPr="00C376AE" w:rsidRDefault="00482EC7" w:rsidP="00482EC7">
      <w:pPr>
        <w:numPr>
          <w:ilvl w:val="0"/>
          <w:numId w:val="18"/>
        </w:numPr>
        <w:shd w:val="clear" w:color="auto" w:fill="FAFAFA"/>
        <w:jc w:val="both"/>
        <w:textAlignment w:val="baseline"/>
        <w:rPr>
          <w:rFonts w:ascii="Merriweather" w:hAnsi="Merriweather"/>
        </w:rPr>
      </w:pPr>
      <w:r w:rsidRPr="00C376AE">
        <w:rPr>
          <w:rStyle w:val="Strong"/>
          <w:rFonts w:ascii="Merriweather" w:hAnsi="Merriweather"/>
          <w:bdr w:val="none" w:sz="0" w:space="0" w:color="auto" w:frame="1"/>
        </w:rPr>
        <w:t>Whether the TPSP has suffered a data breach, or other security incident, and how it responded.</w:t>
      </w:r>
      <w:r w:rsidRPr="00C376AE">
        <w:rPr>
          <w:rStyle w:val="Strong"/>
          <w:rFonts w:ascii="Merriweather" w:hAnsi="Merriweather" w:hint="eastAsia"/>
          <w:bdr w:val="none" w:sz="0" w:space="0" w:color="auto" w:frame="1"/>
        </w:rPr>
        <w:t> </w:t>
      </w:r>
      <w:r w:rsidRPr="00C376AE">
        <w:rPr>
          <w:rFonts w:ascii="Merriweather" w:hAnsi="Merriweather"/>
        </w:rPr>
        <w:t>Even TPSPs with mature, sophisticated information security programs may experience a breach or other security incident. However, the organization should consider the types of incidents that have occurred, how the TPSP handled them, whether there is a pattern of recurring events, and whether the TPSP has remediated any underlying vulnerabilities or at least reasonably mitigated their risks.</w:t>
      </w:r>
    </w:p>
    <w:p w14:paraId="4CF9D465" w14:textId="77777777" w:rsidR="00482EC7" w:rsidRPr="00C376AE" w:rsidRDefault="00482EC7" w:rsidP="00482EC7">
      <w:pPr>
        <w:numPr>
          <w:ilvl w:val="0"/>
          <w:numId w:val="18"/>
        </w:numPr>
        <w:shd w:val="clear" w:color="auto" w:fill="FAFAFA"/>
        <w:jc w:val="both"/>
        <w:textAlignment w:val="baseline"/>
        <w:rPr>
          <w:rFonts w:ascii="Merriweather" w:hAnsi="Merriweather"/>
        </w:rPr>
      </w:pPr>
      <w:r w:rsidRPr="00C376AE">
        <w:rPr>
          <w:rStyle w:val="Strong"/>
          <w:rFonts w:ascii="Merriweather" w:hAnsi="Merriweather"/>
          <w:bdr w:val="none" w:sz="0" w:space="0" w:color="auto" w:frame="1"/>
        </w:rPr>
        <w:lastRenderedPageBreak/>
        <w:t>Whether the TPSP has been subject to any regulatory enforcement actions related to its privacy or information security practices.</w:t>
      </w:r>
      <w:r w:rsidRPr="00C376AE">
        <w:rPr>
          <w:rFonts w:ascii="Merriweather" w:hAnsi="Merriweather"/>
        </w:rPr>
        <w:t> </w:t>
      </w:r>
      <w:r>
        <w:rPr>
          <w:rFonts w:ascii="Merriweather" w:hAnsi="Merriweather"/>
        </w:rPr>
        <w:t xml:space="preserve"> </w:t>
      </w:r>
      <w:proofErr w:type="gramStart"/>
      <w:r w:rsidRPr="00C376AE">
        <w:rPr>
          <w:rFonts w:ascii="Merriweather" w:hAnsi="Merriweather"/>
        </w:rPr>
        <w:t>Similar to</w:t>
      </w:r>
      <w:proofErr w:type="gramEnd"/>
      <w:r w:rsidRPr="00C376AE">
        <w:rPr>
          <w:rFonts w:ascii="Merriweather" w:hAnsi="Merriweather"/>
        </w:rPr>
        <w:t xml:space="preserve"> the TPSP's history of security incidents, organizations should consider the types of actions and whether the TPSP has reasonably resolved them, including remediating any specific issues identified by regulators.</w:t>
      </w:r>
    </w:p>
    <w:p w14:paraId="2755FEF5" w14:textId="77777777" w:rsidR="00482EC7" w:rsidRPr="00C376AE" w:rsidRDefault="00482EC7" w:rsidP="00482EC7">
      <w:pPr>
        <w:numPr>
          <w:ilvl w:val="0"/>
          <w:numId w:val="18"/>
        </w:numPr>
        <w:shd w:val="clear" w:color="auto" w:fill="FAFAFA"/>
        <w:jc w:val="both"/>
        <w:textAlignment w:val="baseline"/>
        <w:rPr>
          <w:rFonts w:ascii="Merriweather" w:hAnsi="Merriweather"/>
        </w:rPr>
      </w:pPr>
      <w:r w:rsidRPr="00C376AE">
        <w:rPr>
          <w:rStyle w:val="Strong"/>
          <w:rFonts w:ascii="Merriweather" w:hAnsi="Merriweather"/>
          <w:bdr w:val="none" w:sz="0" w:space="0" w:color="auto" w:frame="1"/>
        </w:rPr>
        <w:t>Whether the TPSP can provide references for similar engagements to discuss privacy and data security issues.</w:t>
      </w:r>
      <w:r w:rsidRPr="00C376AE">
        <w:rPr>
          <w:rFonts w:ascii="Merriweather" w:hAnsi="Merriweather"/>
        </w:rPr>
        <w:t> Organizations may benefit from discussing the TPSP's approach to privacy and data security issues with other customers, especially those with similar data and requirements.</w:t>
      </w:r>
    </w:p>
    <w:p w14:paraId="2922D5CC" w14:textId="77777777" w:rsidR="00482EC7" w:rsidRPr="00C376AE" w:rsidRDefault="00482EC7" w:rsidP="00482EC7">
      <w:pPr>
        <w:pStyle w:val="ListParagraph"/>
        <w:ind w:left="2520"/>
        <w:jc w:val="both"/>
        <w:rPr>
          <w:rFonts w:ascii="Merriweather" w:hAnsi="Merriweather"/>
          <w:sz w:val="24"/>
          <w:szCs w:val="24"/>
        </w:rPr>
      </w:pPr>
    </w:p>
    <w:p w14:paraId="3870AFF4" w14:textId="77777777" w:rsidR="00482EC7" w:rsidRPr="00C376AE" w:rsidRDefault="00482EC7" w:rsidP="00482EC7">
      <w:pPr>
        <w:pStyle w:val="ListParagraph"/>
        <w:numPr>
          <w:ilvl w:val="0"/>
          <w:numId w:val="20"/>
        </w:numPr>
        <w:spacing w:after="160" w:line="259" w:lineRule="auto"/>
        <w:contextualSpacing/>
        <w:jc w:val="both"/>
        <w:rPr>
          <w:sz w:val="24"/>
          <w:szCs w:val="24"/>
        </w:rPr>
      </w:pPr>
      <w:r w:rsidRPr="00C376AE">
        <w:rPr>
          <w:rFonts w:ascii="Merriweather" w:hAnsi="Merriweather"/>
          <w:b/>
          <w:bCs/>
          <w:sz w:val="24"/>
          <w:szCs w:val="24"/>
        </w:rPr>
        <w:t>Ensure your contract with a TPSP includes terms and conditions that protect your organization including</w:t>
      </w:r>
      <w:r w:rsidRPr="00C376AE">
        <w:rPr>
          <w:rFonts w:ascii="Merriweather" w:hAnsi="Merriweather"/>
          <w:sz w:val="24"/>
          <w:szCs w:val="24"/>
        </w:rPr>
        <w:t>:</w:t>
      </w:r>
    </w:p>
    <w:p w14:paraId="561AE9FF" w14:textId="77777777" w:rsidR="00482EC7" w:rsidRPr="00C376AE" w:rsidRDefault="00482EC7" w:rsidP="00482EC7">
      <w:pPr>
        <w:pStyle w:val="ListParagraph"/>
        <w:numPr>
          <w:ilvl w:val="1"/>
          <w:numId w:val="20"/>
        </w:numPr>
        <w:spacing w:after="160" w:line="259" w:lineRule="auto"/>
        <w:contextualSpacing/>
        <w:jc w:val="both"/>
        <w:rPr>
          <w:sz w:val="24"/>
          <w:szCs w:val="24"/>
        </w:rPr>
      </w:pPr>
      <w:r w:rsidRPr="00C376AE">
        <w:rPr>
          <w:rFonts w:ascii="Merriweather" w:hAnsi="Merriweather"/>
          <w:sz w:val="24"/>
          <w:szCs w:val="24"/>
        </w:rPr>
        <w:t>A requirement the TPSP comply with all applicable laws, regulations</w:t>
      </w:r>
      <w:r>
        <w:rPr>
          <w:rFonts w:ascii="Merriweather" w:hAnsi="Merriweather"/>
          <w:sz w:val="24"/>
          <w:szCs w:val="24"/>
        </w:rPr>
        <w:t>,</w:t>
      </w:r>
      <w:r w:rsidRPr="00C376AE">
        <w:rPr>
          <w:rFonts w:ascii="Merriweather" w:hAnsi="Merriweather"/>
          <w:sz w:val="24"/>
          <w:szCs w:val="24"/>
        </w:rPr>
        <w:t xml:space="preserve"> and industry standards;</w:t>
      </w:r>
    </w:p>
    <w:p w14:paraId="618FCAFA" w14:textId="77777777" w:rsidR="00482EC7" w:rsidRPr="00C376AE" w:rsidRDefault="00482EC7" w:rsidP="00482EC7">
      <w:pPr>
        <w:pStyle w:val="ListParagraph"/>
        <w:numPr>
          <w:ilvl w:val="1"/>
          <w:numId w:val="20"/>
        </w:numPr>
        <w:spacing w:after="160" w:line="259" w:lineRule="auto"/>
        <w:contextualSpacing/>
        <w:jc w:val="both"/>
        <w:rPr>
          <w:sz w:val="24"/>
          <w:szCs w:val="24"/>
        </w:rPr>
      </w:pPr>
      <w:r w:rsidRPr="00C376AE">
        <w:rPr>
          <w:rFonts w:ascii="Merriweather" w:hAnsi="Merriweather"/>
          <w:sz w:val="24"/>
          <w:szCs w:val="24"/>
        </w:rPr>
        <w:t>Define and require the TPSP to meet a minimum standard of care based on applicable laws or regulations as well as the licensee’s policies and procedures</w:t>
      </w:r>
      <w:r>
        <w:rPr>
          <w:rFonts w:ascii="Merriweather" w:hAnsi="Merriweather"/>
          <w:sz w:val="24"/>
          <w:szCs w:val="24"/>
        </w:rPr>
        <w:t>;</w:t>
      </w:r>
    </w:p>
    <w:p w14:paraId="646AD5E0" w14:textId="77777777" w:rsidR="00482EC7" w:rsidRPr="00C376AE" w:rsidRDefault="00482EC7" w:rsidP="00482EC7">
      <w:pPr>
        <w:pStyle w:val="ListParagraph"/>
        <w:numPr>
          <w:ilvl w:val="1"/>
          <w:numId w:val="20"/>
        </w:numPr>
        <w:spacing w:after="160" w:line="259" w:lineRule="auto"/>
        <w:contextualSpacing/>
        <w:jc w:val="both"/>
        <w:rPr>
          <w:sz w:val="24"/>
          <w:szCs w:val="24"/>
        </w:rPr>
      </w:pPr>
      <w:r w:rsidRPr="00C376AE">
        <w:rPr>
          <w:rFonts w:ascii="Merriweather" w:hAnsi="Merriweather"/>
          <w:sz w:val="24"/>
          <w:szCs w:val="24"/>
        </w:rPr>
        <w:t>Permit the TPSP to access the licensee’s IT systems and use its data only to perform work set forth in the agreement</w:t>
      </w:r>
      <w:r>
        <w:rPr>
          <w:rFonts w:ascii="Merriweather" w:hAnsi="Merriweather"/>
          <w:sz w:val="24"/>
          <w:szCs w:val="24"/>
        </w:rPr>
        <w:t>;</w:t>
      </w:r>
    </w:p>
    <w:p w14:paraId="719BD248" w14:textId="77777777" w:rsidR="00482EC7" w:rsidRPr="00C376AE" w:rsidRDefault="00482EC7" w:rsidP="00482EC7">
      <w:pPr>
        <w:pStyle w:val="ListParagraph"/>
        <w:numPr>
          <w:ilvl w:val="1"/>
          <w:numId w:val="20"/>
        </w:numPr>
        <w:spacing w:after="160" w:line="259" w:lineRule="auto"/>
        <w:contextualSpacing/>
        <w:jc w:val="both"/>
        <w:rPr>
          <w:sz w:val="24"/>
          <w:szCs w:val="24"/>
        </w:rPr>
      </w:pPr>
      <w:r w:rsidRPr="00C376AE">
        <w:rPr>
          <w:rFonts w:ascii="Merriweather" w:hAnsi="Merriweather"/>
          <w:sz w:val="24"/>
          <w:szCs w:val="24"/>
        </w:rPr>
        <w:t>Prohibit the TPSP from disclosing or sharing data with any other t</w:t>
      </w:r>
      <w:r>
        <w:rPr>
          <w:rFonts w:ascii="Merriweather" w:hAnsi="Merriweather"/>
          <w:sz w:val="24"/>
          <w:szCs w:val="24"/>
        </w:rPr>
        <w:t>hird-</w:t>
      </w:r>
      <w:r w:rsidRPr="00C376AE">
        <w:rPr>
          <w:rFonts w:ascii="Merriweather" w:hAnsi="Merriweather"/>
          <w:sz w:val="24"/>
          <w:szCs w:val="24"/>
        </w:rPr>
        <w:t>parties without your consent</w:t>
      </w:r>
      <w:r>
        <w:rPr>
          <w:rFonts w:ascii="Merriweather" w:hAnsi="Merriweather"/>
          <w:sz w:val="24"/>
          <w:szCs w:val="24"/>
        </w:rPr>
        <w:t>.  Include how to address</w:t>
      </w:r>
      <w:r w:rsidRPr="00C376AE">
        <w:rPr>
          <w:rFonts w:ascii="Merriweather" w:hAnsi="Merriweather"/>
          <w:sz w:val="24"/>
          <w:szCs w:val="24"/>
        </w:rPr>
        <w:t xml:space="preserve"> data requests from regulators and</w:t>
      </w:r>
      <w:r>
        <w:rPr>
          <w:rFonts w:ascii="Merriweather" w:hAnsi="Merriweather"/>
          <w:sz w:val="24"/>
          <w:szCs w:val="24"/>
        </w:rPr>
        <w:t xml:space="preserve"> other governmental authorities;</w:t>
      </w:r>
    </w:p>
    <w:p w14:paraId="01DF012E" w14:textId="77777777" w:rsidR="00482EC7" w:rsidRPr="00C376AE" w:rsidRDefault="00482EC7" w:rsidP="00482EC7">
      <w:pPr>
        <w:pStyle w:val="ListParagraph"/>
        <w:numPr>
          <w:ilvl w:val="1"/>
          <w:numId w:val="20"/>
        </w:numPr>
        <w:spacing w:after="160" w:line="259" w:lineRule="auto"/>
        <w:contextualSpacing/>
        <w:jc w:val="both"/>
        <w:rPr>
          <w:sz w:val="24"/>
          <w:szCs w:val="24"/>
        </w:rPr>
      </w:pPr>
      <w:r w:rsidRPr="00C376AE">
        <w:rPr>
          <w:rFonts w:ascii="Merriweather" w:hAnsi="Merriweather"/>
          <w:sz w:val="24"/>
          <w:szCs w:val="24"/>
        </w:rPr>
        <w:t>Require the TPSP to pass the privacy and data security obligations on to any subcontractors the TPSP uses to perform the work required</w:t>
      </w:r>
      <w:r>
        <w:rPr>
          <w:rFonts w:ascii="Merriweather" w:hAnsi="Merriweather"/>
          <w:sz w:val="24"/>
          <w:szCs w:val="24"/>
        </w:rPr>
        <w:t xml:space="preserve"> by the contract;</w:t>
      </w:r>
    </w:p>
    <w:p w14:paraId="633D0046" w14:textId="77777777" w:rsidR="00482EC7" w:rsidRPr="00C376AE" w:rsidRDefault="00482EC7" w:rsidP="00482EC7">
      <w:pPr>
        <w:pStyle w:val="ListParagraph"/>
        <w:numPr>
          <w:ilvl w:val="1"/>
          <w:numId w:val="20"/>
        </w:numPr>
        <w:spacing w:after="160" w:line="259" w:lineRule="auto"/>
        <w:contextualSpacing/>
        <w:jc w:val="both"/>
        <w:rPr>
          <w:sz w:val="24"/>
          <w:szCs w:val="24"/>
        </w:rPr>
      </w:pPr>
      <w:r>
        <w:rPr>
          <w:rFonts w:ascii="Merriweather" w:hAnsi="Merriweather"/>
          <w:sz w:val="24"/>
          <w:szCs w:val="24"/>
        </w:rPr>
        <w:t>Require</w:t>
      </w:r>
      <w:r w:rsidRPr="00C376AE">
        <w:rPr>
          <w:rFonts w:ascii="Merriweather" w:hAnsi="Merriweather"/>
          <w:sz w:val="24"/>
          <w:szCs w:val="24"/>
        </w:rPr>
        <w:t xml:space="preserve"> the TPSP to return or destroy, at the licensee’s request, all copies of the licensee’s data </w:t>
      </w:r>
      <w:r>
        <w:rPr>
          <w:rFonts w:ascii="Merriweather" w:hAnsi="Merriweather"/>
          <w:sz w:val="24"/>
          <w:szCs w:val="24"/>
        </w:rPr>
        <w:t>on termination of the agreement;</w:t>
      </w:r>
    </w:p>
    <w:p w14:paraId="364070F9" w14:textId="77777777" w:rsidR="00482EC7" w:rsidRPr="00C376AE" w:rsidRDefault="00482EC7" w:rsidP="00482EC7">
      <w:pPr>
        <w:pStyle w:val="ListParagraph"/>
        <w:numPr>
          <w:ilvl w:val="1"/>
          <w:numId w:val="20"/>
        </w:numPr>
        <w:spacing w:after="160" w:line="259" w:lineRule="auto"/>
        <w:contextualSpacing/>
        <w:jc w:val="both"/>
        <w:rPr>
          <w:sz w:val="24"/>
          <w:szCs w:val="24"/>
        </w:rPr>
      </w:pPr>
      <w:r w:rsidRPr="00C376AE">
        <w:rPr>
          <w:rFonts w:ascii="Merriweather" w:hAnsi="Merriweather"/>
          <w:sz w:val="24"/>
          <w:szCs w:val="24"/>
        </w:rPr>
        <w:t>Define specific security incident reporting and response requirements, including cost allocation and responsibilities for handin</w:t>
      </w:r>
      <w:r>
        <w:rPr>
          <w:rFonts w:ascii="Merriweather" w:hAnsi="Merriweather"/>
          <w:sz w:val="24"/>
          <w:szCs w:val="24"/>
        </w:rPr>
        <w:t>g data breaches and liabilities;</w:t>
      </w:r>
    </w:p>
    <w:p w14:paraId="613ACE61" w14:textId="77777777" w:rsidR="00482EC7" w:rsidRPr="00C376AE" w:rsidRDefault="00482EC7" w:rsidP="00482EC7">
      <w:pPr>
        <w:pStyle w:val="ListParagraph"/>
        <w:numPr>
          <w:ilvl w:val="1"/>
          <w:numId w:val="20"/>
        </w:numPr>
        <w:spacing w:after="160" w:line="259" w:lineRule="auto"/>
        <w:contextualSpacing/>
        <w:jc w:val="both"/>
        <w:rPr>
          <w:sz w:val="24"/>
          <w:szCs w:val="24"/>
        </w:rPr>
      </w:pPr>
      <w:r w:rsidRPr="00C376AE">
        <w:rPr>
          <w:rFonts w:ascii="Merriweather" w:hAnsi="Merriweather"/>
          <w:sz w:val="24"/>
          <w:szCs w:val="24"/>
        </w:rPr>
        <w:t>Require TPSP to give licensee the right to audit or otherwise review or assess the TPSP’s priv</w:t>
      </w:r>
      <w:r>
        <w:rPr>
          <w:rFonts w:ascii="Merriweather" w:hAnsi="Merriweather"/>
          <w:sz w:val="24"/>
          <w:szCs w:val="24"/>
        </w:rPr>
        <w:t>acy and data security practices; and</w:t>
      </w:r>
    </w:p>
    <w:p w14:paraId="280C5BD9" w14:textId="77777777" w:rsidR="00482EC7" w:rsidRPr="00C376AE" w:rsidRDefault="00482EC7" w:rsidP="00482EC7">
      <w:pPr>
        <w:pStyle w:val="ListParagraph"/>
        <w:numPr>
          <w:ilvl w:val="1"/>
          <w:numId w:val="20"/>
        </w:numPr>
        <w:spacing w:after="160" w:line="259" w:lineRule="auto"/>
        <w:contextualSpacing/>
        <w:jc w:val="both"/>
        <w:rPr>
          <w:sz w:val="24"/>
          <w:szCs w:val="24"/>
        </w:rPr>
      </w:pPr>
      <w:r w:rsidRPr="00C376AE">
        <w:rPr>
          <w:rFonts w:ascii="Merriweather" w:hAnsi="Merriweather"/>
          <w:sz w:val="24"/>
          <w:szCs w:val="24"/>
        </w:rPr>
        <w:t>Include provisions that address risk allocations including:</w:t>
      </w:r>
    </w:p>
    <w:p w14:paraId="7D2C49ED" w14:textId="77777777" w:rsidR="00482EC7" w:rsidRPr="00C376AE" w:rsidRDefault="00482EC7" w:rsidP="00482EC7">
      <w:pPr>
        <w:pStyle w:val="ListParagraph"/>
        <w:numPr>
          <w:ilvl w:val="2"/>
          <w:numId w:val="20"/>
        </w:numPr>
        <w:spacing w:after="160" w:line="259" w:lineRule="auto"/>
        <w:contextualSpacing/>
        <w:jc w:val="both"/>
        <w:rPr>
          <w:sz w:val="24"/>
          <w:szCs w:val="24"/>
        </w:rPr>
      </w:pPr>
      <w:r w:rsidRPr="00C376AE">
        <w:rPr>
          <w:rFonts w:ascii="Merriweather" w:hAnsi="Merriweather"/>
          <w:sz w:val="24"/>
          <w:szCs w:val="24"/>
        </w:rPr>
        <w:t>Indemnification and hold harmless clauses;</w:t>
      </w:r>
    </w:p>
    <w:p w14:paraId="271D0ED9" w14:textId="77777777" w:rsidR="00482EC7" w:rsidRPr="00C376AE" w:rsidRDefault="00482EC7" w:rsidP="00482EC7">
      <w:pPr>
        <w:pStyle w:val="ListParagraph"/>
        <w:numPr>
          <w:ilvl w:val="2"/>
          <w:numId w:val="20"/>
        </w:numPr>
        <w:spacing w:after="160" w:line="259" w:lineRule="auto"/>
        <w:contextualSpacing/>
        <w:jc w:val="both"/>
        <w:rPr>
          <w:sz w:val="24"/>
          <w:szCs w:val="24"/>
        </w:rPr>
      </w:pPr>
      <w:r w:rsidRPr="00C376AE">
        <w:rPr>
          <w:rFonts w:ascii="Merriweather" w:hAnsi="Merriweather"/>
          <w:sz w:val="24"/>
          <w:szCs w:val="24"/>
        </w:rPr>
        <w:t>Cyber insurance requirements, including specific limits; and</w:t>
      </w:r>
    </w:p>
    <w:p w14:paraId="20CF5727" w14:textId="77777777" w:rsidR="00482EC7" w:rsidRPr="00C376AE" w:rsidRDefault="00482EC7" w:rsidP="00482EC7">
      <w:pPr>
        <w:pStyle w:val="ListParagraph"/>
        <w:numPr>
          <w:ilvl w:val="2"/>
          <w:numId w:val="20"/>
        </w:numPr>
        <w:spacing w:after="160" w:line="259" w:lineRule="auto"/>
        <w:contextualSpacing/>
        <w:jc w:val="both"/>
        <w:rPr>
          <w:sz w:val="24"/>
          <w:szCs w:val="24"/>
        </w:rPr>
      </w:pPr>
      <w:r w:rsidRPr="00C376AE">
        <w:rPr>
          <w:rFonts w:ascii="Merriweather" w:hAnsi="Merriweather"/>
          <w:sz w:val="24"/>
          <w:szCs w:val="24"/>
        </w:rPr>
        <w:t>Allocation of costs for regulatory penalties and consumer notifications.</w:t>
      </w:r>
    </w:p>
    <w:p w14:paraId="4D4F2F1C" w14:textId="77777777" w:rsidR="00482EC7" w:rsidRPr="00C376AE" w:rsidRDefault="00482EC7" w:rsidP="00482EC7">
      <w:pPr>
        <w:pStyle w:val="ListParagraph"/>
        <w:ind w:left="360"/>
        <w:jc w:val="both"/>
        <w:rPr>
          <w:sz w:val="24"/>
          <w:szCs w:val="24"/>
        </w:rPr>
      </w:pPr>
    </w:p>
    <w:p w14:paraId="71CF2AFF" w14:textId="77777777" w:rsidR="00482EC7" w:rsidRPr="00C376AE" w:rsidRDefault="00482EC7" w:rsidP="00482EC7">
      <w:pPr>
        <w:pStyle w:val="ListParagraph"/>
        <w:ind w:left="1800"/>
        <w:jc w:val="both"/>
        <w:rPr>
          <w:sz w:val="24"/>
          <w:szCs w:val="24"/>
        </w:rPr>
      </w:pPr>
    </w:p>
    <w:p w14:paraId="33B17312" w14:textId="77777777" w:rsidR="00482EC7" w:rsidRDefault="00482EC7" w:rsidP="00482EC7"/>
    <w:p w14:paraId="2D603ECF" w14:textId="77777777" w:rsidR="00AE4AD7" w:rsidRPr="00482EC7" w:rsidRDefault="00AE4AD7" w:rsidP="00482EC7">
      <w:bookmarkStart w:id="0" w:name="_GoBack"/>
      <w:bookmarkEnd w:id="0"/>
    </w:p>
    <w:sectPr w:rsidR="00AE4AD7" w:rsidRPr="00482EC7" w:rsidSect="00D8561F">
      <w:headerReference w:type="even" r:id="rId8"/>
      <w:headerReference w:type="default" r:id="rId9"/>
      <w:headerReference w:type="first" r:id="rId10"/>
      <w:footerReference w:type="first" r:id="rId11"/>
      <w:type w:val="continuous"/>
      <w:pgSz w:w="12240" w:h="15840" w:code="1"/>
      <w:pgMar w:top="720" w:right="720" w:bottom="720" w:left="720" w:header="432" w:footer="0" w:gutter="0"/>
      <w:paperSrc w:first="4" w:other="4"/>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CA91D" w14:textId="77777777" w:rsidR="00AD438C" w:rsidRDefault="00AD438C">
      <w:r>
        <w:separator/>
      </w:r>
    </w:p>
  </w:endnote>
  <w:endnote w:type="continuationSeparator" w:id="0">
    <w:p w14:paraId="5C489857" w14:textId="77777777" w:rsidR="00AD438C" w:rsidRDefault="00AD4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rriweather">
    <w:altName w:val="Calibri"/>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C3578" w14:textId="77777777" w:rsidR="00EF0D07" w:rsidRDefault="00EF0D07" w:rsidP="00EF0D07">
    <w:pPr>
      <w:pStyle w:val="Footer"/>
      <w:tabs>
        <w:tab w:val="clear" w:pos="8640"/>
        <w:tab w:val="right" w:pos="10800"/>
      </w:tabs>
      <w:rPr>
        <w:rFonts w:ascii="Merriweather" w:hAnsi="Merriweather"/>
        <w:color w:val="1F4A7F"/>
        <w:sz w:val="18"/>
        <w:szCs w:val="18"/>
      </w:rPr>
    </w:pPr>
    <w:r w:rsidRPr="00216AB9">
      <w:rPr>
        <w:rFonts w:ascii="Merriweather" w:hAnsi="Merriweather"/>
        <w:b/>
        <w:noProof/>
        <w:color w:val="1F4A7F"/>
        <w:sz w:val="18"/>
        <w:szCs w:val="18"/>
      </w:rPr>
      <mc:AlternateContent>
        <mc:Choice Requires="wps">
          <w:drawing>
            <wp:anchor distT="0" distB="0" distL="114300" distR="114300" simplePos="0" relativeHeight="251671040" behindDoc="0" locked="0" layoutInCell="1" allowOverlap="1" wp14:anchorId="74B35830" wp14:editId="1F4B16FC">
              <wp:simplePos x="0" y="0"/>
              <wp:positionH relativeFrom="page">
                <wp:align>right</wp:align>
              </wp:positionH>
              <wp:positionV relativeFrom="paragraph">
                <wp:posOffset>9525</wp:posOffset>
              </wp:positionV>
              <wp:extent cx="77438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7743825" cy="9525"/>
                      </a:xfrm>
                      <a:prstGeom prst="line">
                        <a:avLst/>
                      </a:prstGeom>
                      <a:noFill/>
                      <a:ln w="9525" cap="flat" cmpd="sng" algn="ctr">
                        <a:solidFill>
                          <a:srgbClr val="4F81BD">
                            <a:lumMod val="75000"/>
                          </a:srgbClr>
                        </a:solidFill>
                        <a:prstDash val="solid"/>
                      </a:ln>
                      <a:effectLst/>
                    </wps:spPr>
                    <wps:bodyPr/>
                  </wps:wsp>
                </a:graphicData>
              </a:graphic>
            </wp:anchor>
          </w:drawing>
        </mc:Choice>
        <mc:Fallback xmlns:w16cid="http://schemas.microsoft.com/office/word/2016/wordml/cid">
          <w:pict>
            <v:line w14:anchorId="6063B349" id="Straight Connector 3" o:spid="_x0000_s1026" style="position:absolute;flip:y;z-index:251671040;visibility:visible;mso-wrap-style:square;mso-wrap-distance-left:9pt;mso-wrap-distance-top:0;mso-wrap-distance-right:9pt;mso-wrap-distance-bottom:0;mso-position-horizontal:right;mso-position-horizontal-relative:page;mso-position-vertical:absolute;mso-position-vertical-relative:text" from="558.55pt,.75pt" to="1168.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" strokecolor="#376092">
              <w10:wrap anchorx="page"/>
            </v:line>
          </w:pict>
        </mc:Fallback>
      </mc:AlternateContent>
    </w:r>
  </w:p>
  <w:p w14:paraId="454BECEC" w14:textId="77777777" w:rsidR="00EF0D07" w:rsidRDefault="00EF0D07" w:rsidP="00EF0D07">
    <w:pPr>
      <w:pStyle w:val="Footer"/>
      <w:tabs>
        <w:tab w:val="clear" w:pos="8640"/>
        <w:tab w:val="right" w:pos="10800"/>
      </w:tabs>
      <w:rPr>
        <w:rFonts w:ascii="Merriweather" w:hAnsi="Merriweather"/>
        <w:color w:val="1F4A7F"/>
        <w:sz w:val="18"/>
        <w:szCs w:val="18"/>
      </w:rPr>
    </w:pPr>
    <w:r w:rsidRPr="00216AB9">
      <w:rPr>
        <w:rFonts w:ascii="Merriweather" w:hAnsi="Merriweather"/>
        <w:noProof/>
        <w:sz w:val="18"/>
        <w:szCs w:val="18"/>
      </w:rPr>
      <w:drawing>
        <wp:anchor distT="0" distB="0" distL="114300" distR="114300" simplePos="0" relativeHeight="251673088" behindDoc="0" locked="0" layoutInCell="1" allowOverlap="1" wp14:anchorId="1EBD8A9B" wp14:editId="687B139B">
          <wp:simplePos x="0" y="0"/>
          <wp:positionH relativeFrom="margin">
            <wp:align>right</wp:align>
          </wp:positionH>
          <wp:positionV relativeFrom="paragraph">
            <wp:posOffset>6349</wp:posOffset>
          </wp:positionV>
          <wp:extent cx="600075" cy="595937"/>
          <wp:effectExtent l="0" t="0" r="0" b="0"/>
          <wp:wrapNone/>
          <wp:docPr id="9" name="Picture 9" descr="scseal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eal_g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95937"/>
                  </a:xfrm>
                  <a:prstGeom prst="rect">
                    <a:avLst/>
                  </a:prstGeom>
                  <a:noFill/>
                </pic:spPr>
              </pic:pic>
            </a:graphicData>
          </a:graphic>
          <wp14:sizeRelH relativeFrom="page">
            <wp14:pctWidth>0</wp14:pctWidth>
          </wp14:sizeRelH>
          <wp14:sizeRelV relativeFrom="page">
            <wp14:pctHeight>0</wp14:pctHeight>
          </wp14:sizeRelV>
        </wp:anchor>
      </w:drawing>
    </w:r>
    <w:r w:rsidRPr="00216AB9">
      <w:rPr>
        <w:rFonts w:ascii="Merriweather" w:hAnsi="Merriweather"/>
        <w:color w:val="1F4A7F"/>
        <w:sz w:val="18"/>
        <w:szCs w:val="18"/>
      </w:rPr>
      <w:t>Governor Henry McMaster</w:t>
    </w:r>
  </w:p>
  <w:p w14:paraId="0CCCF9A5" w14:textId="77777777" w:rsidR="00EF0D07" w:rsidRPr="00216AB9" w:rsidRDefault="00EF0D07" w:rsidP="00EF0D07">
    <w:pPr>
      <w:pStyle w:val="Footer"/>
      <w:tabs>
        <w:tab w:val="clear" w:pos="8640"/>
        <w:tab w:val="right" w:pos="10800"/>
      </w:tabs>
      <w:rPr>
        <w:rFonts w:ascii="Merriweather" w:hAnsi="Merriweather"/>
        <w:color w:val="1F4A7F"/>
        <w:sz w:val="18"/>
        <w:szCs w:val="18"/>
      </w:rPr>
    </w:pPr>
  </w:p>
  <w:p w14:paraId="2E91F59A" w14:textId="77777777" w:rsidR="00EF0D07" w:rsidRDefault="00EF0D07" w:rsidP="00EF0D07">
    <w:pPr>
      <w:rPr>
        <w:rFonts w:ascii="Merriweather" w:hAnsi="Merriweather"/>
        <w:color w:val="1F4A7F"/>
      </w:rPr>
    </w:pPr>
    <w:r w:rsidRPr="00216AB9">
      <w:rPr>
        <w:rFonts w:ascii="Merriweather" w:hAnsi="Merriweather"/>
        <w:color w:val="1F4A7F"/>
        <w:sz w:val="18"/>
        <w:szCs w:val="18"/>
      </w:rPr>
      <w:t>Director Raymond G. Farmer</w:t>
    </w:r>
    <w:r>
      <w:rPr>
        <w:rFonts w:ascii="Merriweather" w:hAnsi="Merriweather"/>
        <w:color w:val="1F4A7F"/>
      </w:rPr>
      <w:t xml:space="preserve"> </w:t>
    </w:r>
  </w:p>
  <w:p w14:paraId="3087D370" w14:textId="77777777" w:rsidR="00EF0D07" w:rsidRDefault="00EF0D07" w:rsidP="00EF0D07">
    <w:pPr>
      <w:rPr>
        <w:rFonts w:ascii="Merriweather" w:hAnsi="Merriweather"/>
        <w:color w:val="1F4A7F"/>
      </w:rPr>
    </w:pPr>
  </w:p>
  <w:p w14:paraId="65C735E5" w14:textId="77777777" w:rsidR="00E83A1F" w:rsidRPr="00E83A1F" w:rsidRDefault="00E83A1F" w:rsidP="00683BDE">
    <w:pPr>
      <w:pStyle w:val="Footer"/>
      <w:tabs>
        <w:tab w:val="clear" w:pos="8640"/>
        <w:tab w:val="right" w:pos="10800"/>
      </w:tabs>
      <w:rPr>
        <w:rFonts w:ascii="Merriweather" w:hAnsi="Merriweather"/>
        <w:color w:val="1F4A7F"/>
        <w:sz w:val="20"/>
        <w:szCs w:val="20"/>
      </w:rPr>
    </w:pPr>
    <w:r w:rsidRPr="00E83A1F">
      <w:rPr>
        <w:rFonts w:ascii="Merriweather" w:hAnsi="Merriweather"/>
        <w:color w:val="1F4A7F"/>
      </w:rPr>
      <w:tab/>
    </w:r>
    <w:r>
      <w:rPr>
        <w:rFonts w:ascii="Merriweather" w:hAnsi="Merriweather"/>
        <w:color w:val="1F4A7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29D29" w14:textId="77777777" w:rsidR="00AD438C" w:rsidRDefault="00AD438C">
      <w:r>
        <w:separator/>
      </w:r>
    </w:p>
  </w:footnote>
  <w:footnote w:type="continuationSeparator" w:id="0">
    <w:p w14:paraId="02C2033A" w14:textId="77777777" w:rsidR="00AD438C" w:rsidRDefault="00AD4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7B1ED" w14:textId="77777777" w:rsidR="00F62DEB" w:rsidRDefault="00AD438C">
    <w:pPr>
      <w:pStyle w:val="Header"/>
    </w:pPr>
    <w:r>
      <w:rPr>
        <w:noProof/>
      </w:rPr>
      <w:pict w14:anchorId="12AE0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04047" o:spid="_x0000_s2050" type="#_x0000_t136" style="position:absolute;margin-left:0;margin-top:0;width:543.8pt;height:217.5pt;rotation:315;z-index:-2516382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232" w14:textId="0F1DDC9A" w:rsidR="00F62DEB" w:rsidRDefault="00AD438C">
    <w:pPr>
      <w:pStyle w:val="Header"/>
      <w:jc w:val="right"/>
    </w:pPr>
    <w:r>
      <w:rPr>
        <w:noProof/>
      </w:rPr>
      <w:pict w14:anchorId="3A603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04048" o:spid="_x0000_s2051" type="#_x0000_t136" style="position:absolute;left:0;text-align:left;margin-left:0;margin-top:0;width:543.8pt;height:217.5pt;rotation:315;z-index:-2516362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id w:val="-519237056"/>
        <w:docPartObj>
          <w:docPartGallery w:val="Page Numbers (Top of Page)"/>
          <w:docPartUnique/>
        </w:docPartObj>
      </w:sdtPr>
      <w:sdtEndPr>
        <w:rPr>
          <w:noProof/>
        </w:rPr>
      </w:sdtEndPr>
      <w:sdtContent>
        <w:r w:rsidR="00F62DEB">
          <w:fldChar w:fldCharType="begin"/>
        </w:r>
        <w:r w:rsidR="00F62DEB">
          <w:instrText xml:space="preserve"> PAGE   \* MERGEFORMAT </w:instrText>
        </w:r>
        <w:r w:rsidR="00F62DEB">
          <w:fldChar w:fldCharType="separate"/>
        </w:r>
        <w:r w:rsidR="00482EC7">
          <w:rPr>
            <w:noProof/>
          </w:rPr>
          <w:t>3</w:t>
        </w:r>
        <w:r w:rsidR="00F62DEB">
          <w:rPr>
            <w:noProof/>
          </w:rPr>
          <w:fldChar w:fldCharType="end"/>
        </w:r>
      </w:sdtContent>
    </w:sdt>
  </w:p>
  <w:p w14:paraId="07A4A9FD" w14:textId="77777777" w:rsidR="00F62DEB" w:rsidRDefault="00F62D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1E9D2" w14:textId="77777777" w:rsidR="00E83A1F" w:rsidRPr="00D8561F" w:rsidRDefault="00AD438C" w:rsidP="00E877A9">
    <w:pPr>
      <w:jc w:val="right"/>
      <w:rPr>
        <w:rFonts w:ascii="Merriweather" w:hAnsi="Merriweather"/>
        <w:b/>
        <w:color w:val="1F4A7F"/>
        <w:sz w:val="18"/>
        <w:szCs w:val="18"/>
      </w:rPr>
    </w:pPr>
    <w:r>
      <w:rPr>
        <w:noProof/>
      </w:rPr>
      <w:pict w14:anchorId="18F3C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04046" o:spid="_x0000_s2049" type="#_x0000_t136" style="position:absolute;left:0;text-align:left;margin-left:0;margin-top:0;width:543.8pt;height:217.5pt;rotation:315;z-index:-2516403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8561F">
      <w:rPr>
        <w:noProof/>
      </w:rPr>
      <w:drawing>
        <wp:anchor distT="0" distB="0" distL="114300" distR="114300" simplePos="0" relativeHeight="251674112" behindDoc="0" locked="0" layoutInCell="1" allowOverlap="1" wp14:anchorId="5B5FB642" wp14:editId="01DFE111">
          <wp:simplePos x="0" y="0"/>
          <wp:positionH relativeFrom="margin">
            <wp:align>left</wp:align>
          </wp:positionH>
          <wp:positionV relativeFrom="paragraph">
            <wp:posOffset>1905</wp:posOffset>
          </wp:positionV>
          <wp:extent cx="2143125" cy="964407"/>
          <wp:effectExtent l="0" t="0" r="0" b="7620"/>
          <wp:wrapNone/>
          <wp:docPr id="8" name="Picture 8" descr="C:\Users\kgeer\AppData\Local\Microsoft\Windows\INetCache\Content.Word\SCDO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eer\AppData\Local\Microsoft\Windows\INetCache\Content.Word\SCDOI-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964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7A9">
      <w:rPr>
        <w:rFonts w:ascii="Merriweather" w:hAnsi="Merriweather"/>
        <w:b/>
        <w:color w:val="1F4A7F"/>
        <w:sz w:val="18"/>
      </w:rPr>
      <w:tab/>
    </w:r>
    <w:r w:rsidR="00E877A9" w:rsidRPr="00D8561F">
      <w:rPr>
        <w:rFonts w:ascii="Merriweather" w:hAnsi="Merriweather"/>
        <w:b/>
        <w:color w:val="1F4A7F"/>
        <w:sz w:val="18"/>
        <w:szCs w:val="18"/>
      </w:rPr>
      <w:t>South Carolina Department of Insurance</w:t>
    </w:r>
  </w:p>
  <w:p w14:paraId="1753CFB8" w14:textId="77777777" w:rsidR="00E877A9" w:rsidRPr="00D8561F" w:rsidRDefault="00E877A9" w:rsidP="00E877A9">
    <w:pPr>
      <w:jc w:val="right"/>
      <w:rPr>
        <w:rFonts w:ascii="Merriweather" w:hAnsi="Merriweather"/>
        <w:b/>
        <w:color w:val="1F4A7F"/>
        <w:sz w:val="18"/>
        <w:szCs w:val="18"/>
      </w:rPr>
    </w:pPr>
    <w:r w:rsidRPr="00D8561F">
      <w:rPr>
        <w:rFonts w:ascii="Merriweather" w:hAnsi="Merriweather"/>
        <w:b/>
        <w:color w:val="1F4A7F"/>
        <w:sz w:val="18"/>
        <w:szCs w:val="18"/>
      </w:rPr>
      <w:t>1201 Main Street</w:t>
    </w:r>
    <w:r w:rsidR="00EF0D07" w:rsidRPr="00D8561F">
      <w:rPr>
        <w:rFonts w:ascii="Merriweather" w:hAnsi="Merriweather"/>
        <w:b/>
        <w:color w:val="1F4A7F"/>
        <w:sz w:val="18"/>
        <w:szCs w:val="18"/>
      </w:rPr>
      <w:t>,</w:t>
    </w:r>
    <w:r w:rsidRPr="00D8561F">
      <w:rPr>
        <w:rFonts w:ascii="Merriweather" w:hAnsi="Merriweather"/>
        <w:b/>
        <w:color w:val="1F4A7F"/>
        <w:sz w:val="18"/>
        <w:szCs w:val="18"/>
      </w:rPr>
      <w:t xml:space="preserve"> Suite 1</w:t>
    </w:r>
    <w:r w:rsidR="00AE4AD7">
      <w:rPr>
        <w:rFonts w:ascii="Merriweather" w:hAnsi="Merriweather"/>
        <w:b/>
        <w:color w:val="1F4A7F"/>
        <w:sz w:val="18"/>
        <w:szCs w:val="18"/>
      </w:rPr>
      <w:t>000</w:t>
    </w:r>
  </w:p>
  <w:p w14:paraId="055482B0" w14:textId="77777777" w:rsidR="00E877A9" w:rsidRPr="00D8561F" w:rsidRDefault="00E877A9" w:rsidP="00E877A9">
    <w:pPr>
      <w:jc w:val="right"/>
      <w:rPr>
        <w:rFonts w:ascii="Merriweather" w:hAnsi="Merriweather"/>
        <w:b/>
        <w:color w:val="1F4A7F"/>
        <w:sz w:val="18"/>
        <w:szCs w:val="18"/>
      </w:rPr>
    </w:pPr>
    <w:r w:rsidRPr="00D8561F">
      <w:rPr>
        <w:rFonts w:ascii="Merriweather" w:hAnsi="Merriweather"/>
        <w:b/>
        <w:color w:val="1F4A7F"/>
        <w:sz w:val="18"/>
        <w:szCs w:val="18"/>
      </w:rPr>
      <w:t>Columbia, SC 29201</w:t>
    </w:r>
  </w:p>
  <w:p w14:paraId="1626604C" w14:textId="77777777" w:rsidR="00683BDE" w:rsidRPr="00D8561F" w:rsidRDefault="00683BDE" w:rsidP="00E877A9">
    <w:pPr>
      <w:jc w:val="right"/>
      <w:rPr>
        <w:rFonts w:ascii="Merriweather" w:hAnsi="Merriweather"/>
        <w:b/>
        <w:color w:val="1F4A7F"/>
        <w:sz w:val="18"/>
        <w:szCs w:val="18"/>
      </w:rPr>
    </w:pPr>
    <w:r w:rsidRPr="00D8561F">
      <w:rPr>
        <w:rFonts w:ascii="Merriweather" w:hAnsi="Merriweather"/>
        <w:b/>
        <w:noProof/>
        <w:color w:val="1F4A7F"/>
        <w:sz w:val="18"/>
        <w:szCs w:val="18"/>
      </w:rPr>
      <mc:AlternateContent>
        <mc:Choice Requires="wps">
          <w:drawing>
            <wp:anchor distT="0" distB="0" distL="114300" distR="114300" simplePos="0" relativeHeight="251665920" behindDoc="0" locked="0" layoutInCell="1" allowOverlap="1" wp14:anchorId="04C9E98C" wp14:editId="51116552">
              <wp:simplePos x="0" y="0"/>
              <wp:positionH relativeFrom="column">
                <wp:posOffset>5800725</wp:posOffset>
              </wp:positionH>
              <wp:positionV relativeFrom="paragraph">
                <wp:posOffset>76200</wp:posOffset>
              </wp:positionV>
              <wp:extent cx="1038225" cy="0"/>
              <wp:effectExtent l="0" t="0" r="0" b="0"/>
              <wp:wrapNone/>
              <wp:docPr id="1" name="Straight Connector 1"/>
              <wp:cNvGraphicFramePr/>
              <a:graphic xmlns:a="http://schemas.openxmlformats.org/drawingml/2006/main">
                <a:graphicData uri="http://schemas.microsoft.com/office/word/2010/wordprocessingShape">
                  <wps:wsp>
                    <wps:cNvCnPr/>
                    <wps:spPr>
                      <a:xfrm flipH="1">
                        <a:off x="0" y="0"/>
                        <a:ext cx="103822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line w14:anchorId="29F14898" id="Straight Connector 1" o:spid="_x0000_s1026" style="position:absolute;flip:x;z-index:251665920;visibility:visible;mso-wrap-style:square;mso-wrap-distance-left:9pt;mso-wrap-distance-top:0;mso-wrap-distance-right:9pt;mso-wrap-distance-bottom:0;mso-position-horizontal:absolute;mso-position-horizontal-relative:text;mso-position-vertical:absolute;mso-position-vertical-relative:text" from="456.75pt,6pt" to="53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" strokecolor="#365f91 [2404]"/>
          </w:pict>
        </mc:Fallback>
      </mc:AlternateContent>
    </w:r>
  </w:p>
  <w:p w14:paraId="59490C97" w14:textId="77777777" w:rsidR="00683BDE" w:rsidRPr="00D8561F" w:rsidRDefault="00683BDE" w:rsidP="00E877A9">
    <w:pPr>
      <w:jc w:val="right"/>
      <w:rPr>
        <w:rFonts w:ascii="Merriweather" w:hAnsi="Merriweather"/>
        <w:b/>
        <w:color w:val="1F4A7F"/>
        <w:sz w:val="18"/>
        <w:szCs w:val="18"/>
      </w:rPr>
    </w:pPr>
    <w:r w:rsidRPr="00D8561F">
      <w:rPr>
        <w:rFonts w:ascii="Merriweather" w:hAnsi="Merriweather"/>
        <w:b/>
        <w:color w:val="1F4A7F"/>
        <w:sz w:val="18"/>
        <w:szCs w:val="18"/>
      </w:rPr>
      <w:t>Mailing Address</w:t>
    </w:r>
  </w:p>
  <w:p w14:paraId="6274D38C" w14:textId="77777777" w:rsidR="00683BDE" w:rsidRPr="00D8561F" w:rsidRDefault="00EF0D07" w:rsidP="00E877A9">
    <w:pPr>
      <w:jc w:val="right"/>
      <w:rPr>
        <w:rFonts w:ascii="Merriweather" w:hAnsi="Merriweather"/>
        <w:b/>
        <w:color w:val="1F4A7F"/>
        <w:sz w:val="18"/>
        <w:szCs w:val="18"/>
      </w:rPr>
    </w:pPr>
    <w:r w:rsidRPr="00D8561F">
      <w:rPr>
        <w:rFonts w:ascii="Merriweather" w:hAnsi="Merriweather"/>
        <w:b/>
        <w:color w:val="1F4A7F"/>
        <w:sz w:val="18"/>
        <w:szCs w:val="18"/>
      </w:rPr>
      <w:t>P.O. Box 100105</w:t>
    </w:r>
  </w:p>
  <w:p w14:paraId="36E481C5" w14:textId="77777777" w:rsidR="00683BDE" w:rsidRPr="00D8561F" w:rsidRDefault="00D8561F" w:rsidP="00E877A9">
    <w:pPr>
      <w:jc w:val="right"/>
      <w:rPr>
        <w:rFonts w:ascii="Merriweather" w:hAnsi="Merriweather"/>
        <w:b/>
        <w:color w:val="1F4A7F"/>
        <w:sz w:val="18"/>
        <w:szCs w:val="18"/>
      </w:rPr>
    </w:pPr>
    <w:r w:rsidRPr="00216AB9">
      <w:rPr>
        <w:rFonts w:ascii="Merriweather" w:hAnsi="Merriweather"/>
        <w:b/>
        <w:noProof/>
        <w:color w:val="1F4A7F"/>
        <w:sz w:val="18"/>
        <w:szCs w:val="18"/>
      </w:rPr>
      <mc:AlternateContent>
        <mc:Choice Requires="wps">
          <w:drawing>
            <wp:anchor distT="0" distB="0" distL="114300" distR="114300" simplePos="0" relativeHeight="251668992" behindDoc="0" locked="0" layoutInCell="1" allowOverlap="1" wp14:anchorId="2368D3DF" wp14:editId="0794DB72">
              <wp:simplePos x="0" y="0"/>
              <wp:positionH relativeFrom="page">
                <wp:align>right</wp:align>
              </wp:positionH>
              <wp:positionV relativeFrom="paragraph">
                <wp:posOffset>221615</wp:posOffset>
              </wp:positionV>
              <wp:extent cx="77438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743825" cy="9525"/>
                      </a:xfrm>
                      <a:prstGeom prst="line">
                        <a:avLst/>
                      </a:prstGeom>
                      <a:noFill/>
                      <a:ln w="9525" cap="flat" cmpd="sng" algn="ctr">
                        <a:solidFill>
                          <a:srgbClr val="4F81BD">
                            <a:lumMod val="75000"/>
                          </a:srgbClr>
                        </a:solidFill>
                        <a:prstDash val="solid"/>
                      </a:ln>
                      <a:effectLst/>
                    </wps:spPr>
                    <wps:bodyPr/>
                  </wps:wsp>
                </a:graphicData>
              </a:graphic>
            </wp:anchor>
          </w:drawing>
        </mc:Choice>
        <mc:Fallback xmlns:w16cid="http://schemas.microsoft.com/office/word/2016/wordml/cid">
          <w:pict>
            <v:line w14:anchorId="76D160BF" id="Straight Connector 5" o:spid="_x0000_s1026" style="position:absolute;flip:y;z-index:251668992;visibility:visible;mso-wrap-style:square;mso-wrap-distance-left:9pt;mso-wrap-distance-top:0;mso-wrap-distance-right:9pt;mso-wrap-distance-bottom:0;mso-position-horizontal:right;mso-position-horizontal-relative:page;mso-position-vertical:absolute;mso-position-vertical-relative:text" from="558.55pt,17.45pt" to="1168.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" strokecolor="#376092">
              <w10:wrap anchorx="page"/>
            </v:line>
          </w:pict>
        </mc:Fallback>
      </mc:AlternateContent>
    </w:r>
    <w:r w:rsidR="00683BDE" w:rsidRPr="00D8561F">
      <w:rPr>
        <w:rFonts w:ascii="Merriweather" w:hAnsi="Merriweather"/>
        <w:b/>
        <w:color w:val="1F4A7F"/>
        <w:sz w:val="18"/>
        <w:szCs w:val="18"/>
      </w:rPr>
      <w:t xml:space="preserve"> Columbia, SC 29202</w:t>
    </w:r>
  </w:p>
  <w:p w14:paraId="77532939" w14:textId="77777777" w:rsidR="00E877A9" w:rsidRPr="0021149B" w:rsidRDefault="00E877A9" w:rsidP="00E877A9">
    <w:pPr>
      <w:jc w:val="right"/>
      <w:rPr>
        <w:rFonts w:ascii="Merriweather" w:hAnsi="Merriweather"/>
        <w:b/>
        <w:color w:val="1F4A7F"/>
        <w:sz w:val="16"/>
      </w:rPr>
    </w:pPr>
  </w:p>
  <w:p w14:paraId="4C61548F" w14:textId="77777777" w:rsidR="00B60FA9" w:rsidRDefault="00B60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9823BD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278BC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BC215A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2B839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AA97F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104AB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99434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B6C6C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AC81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98E4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D2077"/>
    <w:multiLevelType w:val="hybridMultilevel"/>
    <w:tmpl w:val="675E05D4"/>
    <w:lvl w:ilvl="0" w:tplc="18561B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36099B"/>
    <w:multiLevelType w:val="hybridMultilevel"/>
    <w:tmpl w:val="40A2EB0C"/>
    <w:lvl w:ilvl="0" w:tplc="F46C910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AE7BBD"/>
    <w:multiLevelType w:val="hybridMultilevel"/>
    <w:tmpl w:val="6D4EAA42"/>
    <w:lvl w:ilvl="0" w:tplc="DCF67D6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1A3D4493"/>
    <w:multiLevelType w:val="hybridMultilevel"/>
    <w:tmpl w:val="2C2E5498"/>
    <w:lvl w:ilvl="0" w:tplc="CA5A9B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B97810"/>
    <w:multiLevelType w:val="hybridMultilevel"/>
    <w:tmpl w:val="E0687542"/>
    <w:lvl w:ilvl="0" w:tplc="489C19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E195A"/>
    <w:multiLevelType w:val="hybridMultilevel"/>
    <w:tmpl w:val="705E5ED4"/>
    <w:lvl w:ilvl="0" w:tplc="489C1964">
      <w:start w:val="1"/>
      <w:numFmt w:val="bullet"/>
      <w:lvlText w:val=""/>
      <w:lvlJc w:val="left"/>
      <w:pPr>
        <w:ind w:left="1080" w:hanging="360"/>
      </w:pPr>
      <w:rPr>
        <w:rFonts w:ascii="Symbol" w:hAnsi="Symbol" w:hint="default"/>
      </w:rPr>
    </w:lvl>
    <w:lvl w:ilvl="1" w:tplc="489C1964">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3D2847"/>
    <w:multiLevelType w:val="hybridMultilevel"/>
    <w:tmpl w:val="5E66E842"/>
    <w:lvl w:ilvl="0" w:tplc="DFB0061A">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A8314E0"/>
    <w:multiLevelType w:val="hybridMultilevel"/>
    <w:tmpl w:val="E67E1B72"/>
    <w:lvl w:ilvl="0" w:tplc="0409000B">
      <w:start w:val="1"/>
      <w:numFmt w:val="bullet"/>
      <w:lvlText w:val=""/>
      <w:lvlJc w:val="left"/>
      <w:pPr>
        <w:ind w:left="360" w:hanging="360"/>
      </w:pPr>
      <w:rPr>
        <w:rFonts w:ascii="Wingdings" w:hAnsi="Wingdings" w:hint="default"/>
      </w:rPr>
    </w:lvl>
    <w:lvl w:ilvl="1" w:tplc="489C1964">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3EA2BB5"/>
    <w:multiLevelType w:val="hybridMultilevel"/>
    <w:tmpl w:val="E4CAB8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BE6743F"/>
    <w:multiLevelType w:val="hybridMultilevel"/>
    <w:tmpl w:val="030E6818"/>
    <w:lvl w:ilvl="0" w:tplc="F692DA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0"/>
  </w:num>
  <w:num w:numId="14">
    <w:abstractNumId w:val="13"/>
  </w:num>
  <w:num w:numId="15">
    <w:abstractNumId w:val="16"/>
  </w:num>
  <w:num w:numId="16">
    <w:abstractNumId w:val="18"/>
  </w:num>
  <w:num w:numId="17">
    <w:abstractNumId w:val="11"/>
  </w:num>
  <w:num w:numId="18">
    <w:abstractNumId w:val="15"/>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13B"/>
    <w:rsid w:val="00067A07"/>
    <w:rsid w:val="00083FC4"/>
    <w:rsid w:val="00086129"/>
    <w:rsid w:val="0009731E"/>
    <w:rsid w:val="000C013E"/>
    <w:rsid w:val="000C2CEB"/>
    <w:rsid w:val="000D08DA"/>
    <w:rsid w:val="00165EAB"/>
    <w:rsid w:val="00166587"/>
    <w:rsid w:val="00172769"/>
    <w:rsid w:val="001E41CA"/>
    <w:rsid w:val="00203379"/>
    <w:rsid w:val="0021149B"/>
    <w:rsid w:val="00247677"/>
    <w:rsid w:val="00252B74"/>
    <w:rsid w:val="002538BD"/>
    <w:rsid w:val="00293C20"/>
    <w:rsid w:val="002E7F9E"/>
    <w:rsid w:val="00311CED"/>
    <w:rsid w:val="00322611"/>
    <w:rsid w:val="00330786"/>
    <w:rsid w:val="00332D66"/>
    <w:rsid w:val="003759AF"/>
    <w:rsid w:val="00383FA2"/>
    <w:rsid w:val="00391F91"/>
    <w:rsid w:val="003A2309"/>
    <w:rsid w:val="003B1BBB"/>
    <w:rsid w:val="003F66F0"/>
    <w:rsid w:val="00482EC7"/>
    <w:rsid w:val="0048501C"/>
    <w:rsid w:val="00490040"/>
    <w:rsid w:val="004904A2"/>
    <w:rsid w:val="004A2392"/>
    <w:rsid w:val="004A7DC7"/>
    <w:rsid w:val="00504414"/>
    <w:rsid w:val="00522F22"/>
    <w:rsid w:val="00571971"/>
    <w:rsid w:val="00573502"/>
    <w:rsid w:val="005F5AC1"/>
    <w:rsid w:val="0066668E"/>
    <w:rsid w:val="00683BDE"/>
    <w:rsid w:val="006D471B"/>
    <w:rsid w:val="006D4757"/>
    <w:rsid w:val="006F2E62"/>
    <w:rsid w:val="006F7126"/>
    <w:rsid w:val="00716970"/>
    <w:rsid w:val="00725A26"/>
    <w:rsid w:val="00777D91"/>
    <w:rsid w:val="0078713B"/>
    <w:rsid w:val="007939BA"/>
    <w:rsid w:val="007A2B01"/>
    <w:rsid w:val="007B2DD7"/>
    <w:rsid w:val="00807375"/>
    <w:rsid w:val="008309C6"/>
    <w:rsid w:val="008B48EC"/>
    <w:rsid w:val="008E1F88"/>
    <w:rsid w:val="008E7861"/>
    <w:rsid w:val="009321E1"/>
    <w:rsid w:val="0094698A"/>
    <w:rsid w:val="009C7EF9"/>
    <w:rsid w:val="00A0039C"/>
    <w:rsid w:val="00A87501"/>
    <w:rsid w:val="00A903EB"/>
    <w:rsid w:val="00A92B10"/>
    <w:rsid w:val="00A9336D"/>
    <w:rsid w:val="00AA30C8"/>
    <w:rsid w:val="00AD438C"/>
    <w:rsid w:val="00AE041B"/>
    <w:rsid w:val="00AE4AD7"/>
    <w:rsid w:val="00B04874"/>
    <w:rsid w:val="00B46364"/>
    <w:rsid w:val="00B52E6D"/>
    <w:rsid w:val="00B60FA9"/>
    <w:rsid w:val="00BE07C1"/>
    <w:rsid w:val="00BF384B"/>
    <w:rsid w:val="00BF73FA"/>
    <w:rsid w:val="00C37956"/>
    <w:rsid w:val="00C4209D"/>
    <w:rsid w:val="00C73AA3"/>
    <w:rsid w:val="00D05D27"/>
    <w:rsid w:val="00D20BCA"/>
    <w:rsid w:val="00D34E03"/>
    <w:rsid w:val="00D52C67"/>
    <w:rsid w:val="00D70E7E"/>
    <w:rsid w:val="00D8561F"/>
    <w:rsid w:val="00D942BC"/>
    <w:rsid w:val="00DC38AC"/>
    <w:rsid w:val="00DD2F5D"/>
    <w:rsid w:val="00E2652A"/>
    <w:rsid w:val="00E41C2B"/>
    <w:rsid w:val="00E83A1F"/>
    <w:rsid w:val="00E877A9"/>
    <w:rsid w:val="00EA214D"/>
    <w:rsid w:val="00EC3069"/>
    <w:rsid w:val="00EE665D"/>
    <w:rsid w:val="00EE7846"/>
    <w:rsid w:val="00EF0D07"/>
    <w:rsid w:val="00F54091"/>
    <w:rsid w:val="00F561A1"/>
    <w:rsid w:val="00F56A7F"/>
    <w:rsid w:val="00F62DEB"/>
    <w:rsid w:val="00F77FDF"/>
    <w:rsid w:val="00F86E44"/>
    <w:rsid w:val="00F907A4"/>
    <w:rsid w:val="00F97685"/>
    <w:rsid w:val="00FB0F67"/>
    <w:rsid w:val="00FB5084"/>
    <w:rsid w:val="00FC219C"/>
    <w:rsid w:val="00FE1DC8"/>
    <w:rsid w:val="00FE6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B8B2CA"/>
  <w15:docId w15:val="{AADD03EA-AFC3-4066-9682-CF7AE3D1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outlineLvl w:val="0"/>
    </w:pPr>
    <w:rPr>
      <w:rFonts w:ascii="Arial Rounded MT Bold" w:hAnsi="Arial Rounded MT Bold"/>
      <w:sz w:val="32"/>
    </w:rPr>
  </w:style>
  <w:style w:type="paragraph" w:styleId="Heading2">
    <w:name w:val="heading 2"/>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outlineLvl w:val="1"/>
    </w:pPr>
    <w:rPr>
      <w:b/>
      <w:bCs/>
      <w:sz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keepNext/>
      <w:jc w:val="center"/>
      <w:outlineLvl w:val="7"/>
    </w:pPr>
    <w:rPr>
      <w:rFonts w:ascii="Arial Rounded MT Bold" w:hAnsi="Arial Rounded MT Bold"/>
      <w:sz w:val="40"/>
      <w:szCs w:val="2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Arial" w:hAnsi="Arial" w:cs="Arial"/>
    </w:rPr>
  </w:style>
  <w:style w:type="character" w:styleId="Hyperlink">
    <w:name w:val="Hyperlink"/>
    <w:basedOn w:val="DefaultParagraphFont"/>
    <w:rPr>
      <w:color w:val="0000FF"/>
      <w:u w:val="single"/>
    </w:rPr>
  </w:style>
  <w:style w:type="paragraph" w:styleId="BodyText2">
    <w:name w:val="Body Text 2"/>
    <w:basedOn w:val="Normal"/>
    <w:rPr>
      <w:rFonts w:ascii="Helvetica" w:hAnsi="Helvetica"/>
      <w:sz w:val="36"/>
      <w:szCs w:val="20"/>
    </w:rPr>
  </w:style>
  <w:style w:type="paragraph" w:customStyle="1" w:styleId="QuickFormat1">
    <w:name w:val="QuickFormat1"/>
    <w:basedOn w:val="Normal"/>
    <w:pPr>
      <w:widowControl w:val="0"/>
      <w:autoSpaceDE w:val="0"/>
      <w:autoSpaceDN w:val="0"/>
      <w:adjustRightInd w:val="0"/>
      <w:spacing w:line="334" w:lineRule="auto"/>
      <w:jc w:val="both"/>
    </w:pPr>
    <w:rPr>
      <w:rFonts w:ascii="Century Gothic" w:hAnsi="Century Gothic"/>
      <w:color w:val="000000"/>
      <w:sz w:val="20"/>
      <w:szCs w:val="20"/>
    </w:rPr>
  </w:style>
  <w:style w:type="paragraph" w:styleId="BodyTextIndent">
    <w:name w:val="Body Text Indent"/>
    <w:basedOn w:val="Normal"/>
    <w:pPr>
      <w:ind w:firstLine="720"/>
      <w:jc w:val="both"/>
    </w:p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rPr>
      <w:rFonts w:ascii="Times New Roman" w:hAnsi="Times New Roman" w:cs="Times New Roman"/>
    </w:rPr>
  </w:style>
  <w:style w:type="paragraph" w:styleId="BodyTextFirstIndent2">
    <w:name w:val="Body Text First Indent 2"/>
    <w:basedOn w:val="BodyTextIndent"/>
    <w:pPr>
      <w:spacing w:after="120"/>
      <w:ind w:left="360" w:firstLine="210"/>
      <w:jc w:val="left"/>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link w:val="EndnoteTextChar"/>
    <w:uiPriority w:val="99"/>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Footer">
    <w:name w:val="footer"/>
    <w:basedOn w:val="Normal"/>
    <w:link w:val="FooterChar"/>
    <w:uiPriority w:val="99"/>
    <w:pPr>
      <w:tabs>
        <w:tab w:val="center" w:pos="4320"/>
        <w:tab w:val="right" w:pos="8640"/>
      </w:tabs>
    </w:pPr>
  </w:style>
  <w:style w:type="paragraph" w:styleId="FootnoteText">
    <w:name w:val="footnote text"/>
    <w:basedOn w:val="Normal"/>
    <w:semiHidden/>
    <w:rPr>
      <w:sz w:val="20"/>
      <w:szCs w:val="20"/>
    </w:rPr>
  </w:style>
  <w:style w:type="paragraph" w:styleId="Header">
    <w:name w:val="header"/>
    <w:basedOn w:val="Normal"/>
    <w:link w:val="HeaderChar"/>
    <w:uiPriority w:val="99"/>
    <w:pPr>
      <w:tabs>
        <w:tab w:val="center" w:pos="4320"/>
        <w:tab w:val="right" w:pos="8640"/>
      </w:tabs>
    </w:p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Default">
    <w:name w:val="Default"/>
    <w:rsid w:val="004A7DC7"/>
    <w:pPr>
      <w:autoSpaceDE w:val="0"/>
      <w:autoSpaceDN w:val="0"/>
      <w:adjustRightInd w:val="0"/>
    </w:pPr>
    <w:rPr>
      <w:rFonts w:eastAsia="Calibri"/>
      <w:color w:val="000000"/>
      <w:sz w:val="24"/>
      <w:szCs w:val="24"/>
    </w:rPr>
  </w:style>
  <w:style w:type="paragraph" w:styleId="BalloonText">
    <w:name w:val="Balloon Text"/>
    <w:basedOn w:val="Normal"/>
    <w:link w:val="BalloonTextChar"/>
    <w:rsid w:val="004A7DC7"/>
    <w:rPr>
      <w:rFonts w:ascii="Tahoma" w:hAnsi="Tahoma" w:cs="Tahoma"/>
      <w:sz w:val="16"/>
      <w:szCs w:val="16"/>
    </w:rPr>
  </w:style>
  <w:style w:type="character" w:customStyle="1" w:styleId="BalloonTextChar">
    <w:name w:val="Balloon Text Char"/>
    <w:basedOn w:val="DefaultParagraphFont"/>
    <w:link w:val="BalloonText"/>
    <w:rsid w:val="004A7DC7"/>
    <w:rPr>
      <w:rFonts w:ascii="Tahoma" w:hAnsi="Tahoma" w:cs="Tahoma"/>
      <w:sz w:val="16"/>
      <w:szCs w:val="16"/>
    </w:rPr>
  </w:style>
  <w:style w:type="character" w:customStyle="1" w:styleId="HeaderChar">
    <w:name w:val="Header Char"/>
    <w:link w:val="Header"/>
    <w:uiPriority w:val="99"/>
    <w:rsid w:val="007A2B01"/>
    <w:rPr>
      <w:sz w:val="24"/>
      <w:szCs w:val="24"/>
    </w:rPr>
  </w:style>
  <w:style w:type="character" w:customStyle="1" w:styleId="FooterChar">
    <w:name w:val="Footer Char"/>
    <w:basedOn w:val="DefaultParagraphFont"/>
    <w:link w:val="Footer"/>
    <w:uiPriority w:val="99"/>
    <w:rsid w:val="00EF0D07"/>
    <w:rPr>
      <w:sz w:val="24"/>
      <w:szCs w:val="24"/>
    </w:rPr>
  </w:style>
  <w:style w:type="paragraph" w:styleId="ListParagraph">
    <w:name w:val="List Paragraph"/>
    <w:basedOn w:val="Normal"/>
    <w:uiPriority w:val="34"/>
    <w:qFormat/>
    <w:rsid w:val="00B46364"/>
    <w:pPr>
      <w:ind w:left="720"/>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09731E"/>
    <w:rPr>
      <w:color w:val="808080"/>
      <w:shd w:val="clear" w:color="auto" w:fill="E6E6E6"/>
    </w:rPr>
  </w:style>
  <w:style w:type="paragraph" w:styleId="NoSpacing">
    <w:name w:val="No Spacing"/>
    <w:uiPriority w:val="1"/>
    <w:qFormat/>
    <w:rsid w:val="006F7126"/>
    <w:rPr>
      <w:rFonts w:asciiTheme="minorHAnsi" w:eastAsiaTheme="minorHAnsi" w:hAnsiTheme="minorHAnsi" w:cstheme="minorBidi"/>
      <w:sz w:val="22"/>
      <w:szCs w:val="22"/>
    </w:rPr>
  </w:style>
  <w:style w:type="character" w:customStyle="1" w:styleId="EndnoteTextChar">
    <w:name w:val="Endnote Text Char"/>
    <w:basedOn w:val="DefaultParagraphFont"/>
    <w:link w:val="EndnoteText"/>
    <w:uiPriority w:val="99"/>
    <w:semiHidden/>
    <w:rsid w:val="006F7126"/>
  </w:style>
  <w:style w:type="character" w:styleId="EndnoteReference">
    <w:name w:val="endnote reference"/>
    <w:basedOn w:val="DefaultParagraphFont"/>
    <w:uiPriority w:val="99"/>
    <w:semiHidden/>
    <w:unhideWhenUsed/>
    <w:rsid w:val="006F7126"/>
    <w:rPr>
      <w:vertAlign w:val="superscript"/>
    </w:rPr>
  </w:style>
  <w:style w:type="character" w:styleId="CommentReference">
    <w:name w:val="annotation reference"/>
    <w:basedOn w:val="DefaultParagraphFont"/>
    <w:semiHidden/>
    <w:unhideWhenUsed/>
    <w:rsid w:val="002E7F9E"/>
    <w:rPr>
      <w:sz w:val="16"/>
      <w:szCs w:val="16"/>
    </w:rPr>
  </w:style>
  <w:style w:type="paragraph" w:styleId="CommentSubject">
    <w:name w:val="annotation subject"/>
    <w:basedOn w:val="CommentText"/>
    <w:next w:val="CommentText"/>
    <w:link w:val="CommentSubjectChar"/>
    <w:semiHidden/>
    <w:unhideWhenUsed/>
    <w:rsid w:val="002E7F9E"/>
    <w:rPr>
      <w:b/>
      <w:bCs/>
    </w:rPr>
  </w:style>
  <w:style w:type="character" w:customStyle="1" w:styleId="CommentTextChar">
    <w:name w:val="Comment Text Char"/>
    <w:basedOn w:val="DefaultParagraphFont"/>
    <w:link w:val="CommentText"/>
    <w:semiHidden/>
    <w:rsid w:val="002E7F9E"/>
  </w:style>
  <w:style w:type="character" w:customStyle="1" w:styleId="CommentSubjectChar">
    <w:name w:val="Comment Subject Char"/>
    <w:basedOn w:val="CommentTextChar"/>
    <w:link w:val="CommentSubject"/>
    <w:semiHidden/>
    <w:rsid w:val="002E7F9E"/>
    <w:rPr>
      <w:b/>
      <w:bCs/>
    </w:rPr>
  </w:style>
  <w:style w:type="paragraph" w:styleId="Revision">
    <w:name w:val="Revision"/>
    <w:hidden/>
    <w:uiPriority w:val="99"/>
    <w:semiHidden/>
    <w:rsid w:val="002E7F9E"/>
    <w:rPr>
      <w:sz w:val="24"/>
      <w:szCs w:val="24"/>
    </w:rPr>
  </w:style>
  <w:style w:type="character" w:styleId="Strong">
    <w:name w:val="Strong"/>
    <w:basedOn w:val="DefaultParagraphFont"/>
    <w:uiPriority w:val="22"/>
    <w:qFormat/>
    <w:rsid w:val="00482E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DC844-3666-41ED-AA4E-3055507FE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1171</Words>
  <Characters>6678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Expo shows how to save lives, property and money</vt:lpstr>
    </vt:vector>
  </TitlesOfParts>
  <Company>State of South Carolina</Company>
  <LinksUpToDate>false</LinksUpToDate>
  <CharactersWithSpaces>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 shows how to save lives, property and money</dc:title>
  <dc:subject/>
  <dc:creator>Department of Insurance</dc:creator>
  <cp:keywords/>
  <dc:description/>
  <cp:lastModifiedBy>Daniel Morris</cp:lastModifiedBy>
  <cp:revision>3</cp:revision>
  <cp:lastPrinted>2020-01-17T13:44:00Z</cp:lastPrinted>
  <dcterms:created xsi:type="dcterms:W3CDTF">2020-04-20T00:47:00Z</dcterms:created>
  <dcterms:modified xsi:type="dcterms:W3CDTF">2020-04-20T00:47:00Z</dcterms:modified>
</cp:coreProperties>
</file>